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8A" w:rsidRPr="00700B68" w:rsidRDefault="00700B68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bookmarkStart w:id="0" w:name="_Toc512937853"/>
      <w:bookmarkStart w:id="1" w:name="_Toc216513803"/>
      <w:r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一</w:t>
      </w:r>
      <w:r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、</w:t>
      </w:r>
      <w:r w:rsidR="0024388A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基本</w:t>
      </w:r>
      <w:r w:rsidR="0024388A"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情况</w:t>
      </w:r>
      <w:r w:rsidR="0024388A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：</w:t>
      </w:r>
    </w:p>
    <w:p w:rsidR="0024388A" w:rsidRDefault="00150382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1、</w:t>
      </w:r>
      <w:r w:rsidR="0024388A"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机房</w:t>
      </w:r>
      <w:r w:rsidR="0024388A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位</w:t>
      </w:r>
      <w:r w:rsidR="0024388A"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于</w:t>
      </w:r>
      <w:r w:rsidR="0024388A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医</w:t>
      </w:r>
      <w:r w:rsidR="0024388A"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院住院二部的二层</w:t>
      </w:r>
      <w:r w:rsidR="0024388A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，</w:t>
      </w:r>
      <w:r w:rsidR="00F53968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占地面积121.18平方</w:t>
      </w:r>
      <w:r w:rsidR="00F53968"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米</w:t>
      </w:r>
      <w:r w:rsidR="00F53968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。</w:t>
      </w:r>
      <w:r w:rsidR="0024388A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于2020年10月启用。主机房安装一套智能微模块系统，智能微模块内采用2台列间精密空调进行制冷</w:t>
      </w:r>
      <w:r w:rsidR="008072D6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，</w:t>
      </w:r>
      <w:r w:rsidR="0024388A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机房业务设备由1台一体化UPS进行供电，蓄电池组安装在主机房北侧的配电室内。</w:t>
      </w:r>
    </w:p>
    <w:p w:rsidR="00150382" w:rsidRPr="00700B68" w:rsidRDefault="00150382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2、</w:t>
      </w:r>
      <w:r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服务期</w:t>
      </w:r>
      <w:r w:rsidR="009C4B73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为</w:t>
      </w:r>
      <w:bookmarkStart w:id="2" w:name="_GoBack"/>
      <w:bookmarkEnd w:id="2"/>
      <w:r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3年</w:t>
      </w:r>
    </w:p>
    <w:p w:rsidR="00F93C20" w:rsidRPr="00700B68" w:rsidRDefault="00700B68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二</w:t>
      </w:r>
      <w:r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、</w:t>
      </w:r>
      <w:r w:rsidR="00F93C20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要求</w:t>
      </w:r>
      <w:r w:rsidR="00F93C20"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：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1、近3年独立完成的同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行业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机房维护业绩名单附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合同。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2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、营业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执照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3、安全生产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许可证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4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、电子与智能化专业承包贰级资质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5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、ISO9001质量管理体系认证证书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6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、影响机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房稳定运行的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重要性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故障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应急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响应时间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不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大于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4小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时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到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现场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7、服务响应标准为365天（7×24）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8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、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支持电话、远程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等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方式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协助和指导</w:t>
      </w:r>
    </w:p>
    <w:p w:rsidR="00F93C20" w:rsidRPr="00700B68" w:rsidRDefault="00F93C20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9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、提供运维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服务表单</w:t>
      </w:r>
      <w:r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和</w:t>
      </w:r>
      <w:r w:rsidRPr="00700B68"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年度运维汇总报告</w:t>
      </w:r>
    </w:p>
    <w:p w:rsidR="00436D98" w:rsidRPr="00700B68" w:rsidRDefault="00700B68" w:rsidP="00700B68">
      <w:pPr>
        <w:widowControl/>
        <w:spacing w:line="440" w:lineRule="exact"/>
        <w:ind w:firstLineChars="200"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三</w:t>
      </w:r>
      <w:r>
        <w:rPr>
          <w:rFonts w:ascii="微软雅黑" w:eastAsia="微软雅黑" w:hAnsi="微软雅黑" w:cs="仿宋"/>
          <w:color w:val="000000"/>
          <w:kern w:val="0"/>
          <w:sz w:val="24"/>
          <w:szCs w:val="24"/>
        </w:rPr>
        <w:t>、</w:t>
      </w:r>
      <w:r w:rsidR="00101FDD" w:rsidRPr="00700B68">
        <w:rPr>
          <w:rFonts w:ascii="微软雅黑" w:eastAsia="微软雅黑" w:hAnsi="微软雅黑" w:cs="仿宋" w:hint="eastAsia"/>
          <w:color w:val="000000"/>
          <w:kern w:val="0"/>
          <w:sz w:val="24"/>
          <w:szCs w:val="24"/>
        </w:rPr>
        <w:t>货物/服务需求一览表</w:t>
      </w:r>
      <w:bookmarkEnd w:id="0"/>
      <w:bookmarkEnd w:id="1"/>
    </w:p>
    <w:tbl>
      <w:tblPr>
        <w:tblW w:w="9117" w:type="dxa"/>
        <w:jc w:val="center"/>
        <w:tblLook w:val="04A0" w:firstRow="1" w:lastRow="0" w:firstColumn="1" w:lastColumn="0" w:noHBand="0" w:noVBand="1"/>
      </w:tblPr>
      <w:tblGrid>
        <w:gridCol w:w="688"/>
        <w:gridCol w:w="3602"/>
        <w:gridCol w:w="670"/>
        <w:gridCol w:w="693"/>
        <w:gridCol w:w="3464"/>
      </w:tblGrid>
      <w:tr w:rsidR="00436D98" w:rsidRPr="00700B68" w:rsidTr="00700B68">
        <w:trPr>
          <w:trHeight w:val="5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维护名称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单位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备注</w:t>
            </w:r>
          </w:p>
        </w:tc>
      </w:tr>
      <w:tr w:rsidR="00436D98" w:rsidRPr="00700B68" w:rsidTr="00700B68">
        <w:trPr>
          <w:trHeight w:val="796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列间机房空调（NetCol5000-A050H4WE0）季度巡检及应急服务</w:t>
            </w:r>
            <w:r w:rsidR="00253A43"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；</w:t>
            </w: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大金空调季度巡检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每季度定期巡检一次，应急服务响应为7*24小时（含空调室外机3次清洗）</w:t>
            </w:r>
          </w:p>
        </w:tc>
      </w:tr>
      <w:tr w:rsidR="00436D98" w:rsidRPr="00700B68" w:rsidTr="00700B68">
        <w:trPr>
          <w:trHeight w:val="834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新风机季度巡检及应急服务及更换新风机过滤网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每季度定期巡检一次，应急服务响应为7*24小时，中效与亚高效每半年度更换一次；</w:t>
            </w:r>
          </w:p>
        </w:tc>
      </w:tr>
      <w:tr w:rsidR="00436D98" w:rsidRPr="00700B68" w:rsidTr="00700B68">
        <w:trPr>
          <w:trHeight w:val="796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一体化UPS：UPS5000-E-50K-HASBS/PM25K-V4S，UPS主机及电池季度巡检及应急服务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每季度定期巡检一次，应急服务响应为7*24小时</w:t>
            </w:r>
          </w:p>
        </w:tc>
      </w:tr>
      <w:tr w:rsidR="00436D98" w:rsidRPr="00700B68" w:rsidTr="00700B68">
        <w:trPr>
          <w:trHeight w:val="498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蓄电池BSD12V100AH02：机房蓄电池组内阻检测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每年度测试一次；不含更换电池费用</w:t>
            </w:r>
          </w:p>
        </w:tc>
      </w:tr>
      <w:tr w:rsidR="00436D98" w:rsidRPr="00700B68" w:rsidTr="00700B68">
        <w:trPr>
          <w:trHeight w:val="479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更换空调过滤网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每半年更换一次；</w:t>
            </w:r>
          </w:p>
        </w:tc>
      </w:tr>
      <w:tr w:rsidR="00436D98" w:rsidRPr="00700B68" w:rsidTr="00700B68">
        <w:trPr>
          <w:trHeight w:val="546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lastRenderedPageBreak/>
              <w:t>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更换空调湿膜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每年度更换一次；</w:t>
            </w:r>
          </w:p>
        </w:tc>
      </w:tr>
      <w:tr w:rsidR="00436D98" w:rsidRPr="00700B68" w:rsidTr="00700B68">
        <w:trPr>
          <w:trHeight w:val="537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软水机巡检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季度巡检，含换工业盐</w:t>
            </w:r>
          </w:p>
        </w:tc>
      </w:tr>
      <w:tr w:rsidR="00436D98" w:rsidRPr="00700B68" w:rsidTr="00700B68">
        <w:trPr>
          <w:trHeight w:val="565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动环监控系统设备费季度巡检及应急服务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每季度巡检一次，</w:t>
            </w:r>
            <w:r w:rsidR="00DE5B9A"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不</w:t>
            </w:r>
            <w:r w:rsidR="00421A5C"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含设</w:t>
            </w:r>
            <w:r w:rsidR="00DE5B9A"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备</w:t>
            </w:r>
            <w:r w:rsidR="00421A5C" w:rsidRPr="00700B68"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  <w:t>配件</w:t>
            </w:r>
          </w:p>
        </w:tc>
      </w:tr>
      <w:tr w:rsidR="00436D98" w:rsidRPr="00700B68" w:rsidTr="00700B68">
        <w:trPr>
          <w:trHeight w:val="786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253A43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列间机房空调（NetCol5000-A050H4WE0）</w:t>
            </w:r>
            <w:r w:rsidR="00101FDD"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设备的硬件、FM2000智能微模块的硬件、UPS电源硬件</w:t>
            </w: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，原厂标准+服务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98" w:rsidRPr="00700B68" w:rsidRDefault="00101FDD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98" w:rsidRPr="00700B68" w:rsidRDefault="0024388A" w:rsidP="00700B68">
            <w:pPr>
              <w:widowControl/>
              <w:spacing w:line="440" w:lineRule="exact"/>
              <w:jc w:val="left"/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</w:pP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含设备</w:t>
            </w:r>
            <w:r w:rsidRPr="00700B68"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  <w:t>故障</w:t>
            </w: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维修</w:t>
            </w:r>
            <w:r w:rsidRPr="00700B68"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  <w:t>及</w:t>
            </w: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更换</w:t>
            </w:r>
            <w:r w:rsidRPr="00700B68">
              <w:rPr>
                <w:rFonts w:ascii="微软雅黑" w:eastAsia="微软雅黑" w:hAnsi="微软雅黑" w:cs="仿宋"/>
                <w:color w:val="000000"/>
                <w:kern w:val="0"/>
                <w:szCs w:val="24"/>
              </w:rPr>
              <w:t>原厂配件</w:t>
            </w:r>
            <w:r w:rsidRPr="00700B68">
              <w:rPr>
                <w:rFonts w:ascii="微软雅黑" w:eastAsia="微软雅黑" w:hAnsi="微软雅黑" w:cs="仿宋" w:hint="eastAsia"/>
                <w:color w:val="000000"/>
                <w:kern w:val="0"/>
                <w:szCs w:val="24"/>
              </w:rPr>
              <w:t>；</w:t>
            </w:r>
          </w:p>
        </w:tc>
      </w:tr>
    </w:tbl>
    <w:p w:rsidR="000D1096" w:rsidRPr="00700B68" w:rsidRDefault="000D1096" w:rsidP="00700B68">
      <w:pPr>
        <w:widowControl/>
        <w:spacing w:line="440" w:lineRule="exact"/>
        <w:ind w:firstLine="480"/>
        <w:jc w:val="left"/>
        <w:rPr>
          <w:rFonts w:ascii="微软雅黑" w:eastAsia="微软雅黑" w:hAnsi="微软雅黑" w:cs="仿宋"/>
          <w:color w:val="000000"/>
          <w:kern w:val="0"/>
          <w:sz w:val="24"/>
          <w:szCs w:val="24"/>
        </w:rPr>
      </w:pPr>
    </w:p>
    <w:sectPr w:rsidR="000D1096" w:rsidRPr="00700B68" w:rsidSect="00700B68">
      <w:pgSz w:w="11906" w:h="16838"/>
      <w:pgMar w:top="1418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68" w:rsidRDefault="00F34368" w:rsidP="00D00EA8">
      <w:r>
        <w:separator/>
      </w:r>
    </w:p>
  </w:endnote>
  <w:endnote w:type="continuationSeparator" w:id="0">
    <w:p w:rsidR="00F34368" w:rsidRDefault="00F34368" w:rsidP="00D0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68" w:rsidRDefault="00F34368" w:rsidP="00D00EA8">
      <w:r>
        <w:separator/>
      </w:r>
    </w:p>
  </w:footnote>
  <w:footnote w:type="continuationSeparator" w:id="0">
    <w:p w:rsidR="00F34368" w:rsidRDefault="00F34368" w:rsidP="00D0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EDE"/>
    <w:multiLevelType w:val="multilevel"/>
    <w:tmpl w:val="03811ED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E46247"/>
    <w:multiLevelType w:val="multilevel"/>
    <w:tmpl w:val="30E4624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5B18DE"/>
    <w:multiLevelType w:val="multilevel"/>
    <w:tmpl w:val="575B18DE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5M2U5NzA2MWJiMWUyYWM5YjVmMGExZDJiZjg0OTEifQ=="/>
  </w:docVars>
  <w:rsids>
    <w:rsidRoot w:val="002863FA"/>
    <w:rsid w:val="FF77872E"/>
    <w:rsid w:val="00002C1D"/>
    <w:rsid w:val="00023CEA"/>
    <w:rsid w:val="00042D6F"/>
    <w:rsid w:val="000742FE"/>
    <w:rsid w:val="00091642"/>
    <w:rsid w:val="000B10D6"/>
    <w:rsid w:val="000B121B"/>
    <w:rsid w:val="000D1096"/>
    <w:rsid w:val="000D25B1"/>
    <w:rsid w:val="00101FDD"/>
    <w:rsid w:val="00150382"/>
    <w:rsid w:val="00154E30"/>
    <w:rsid w:val="00190094"/>
    <w:rsid w:val="0019410F"/>
    <w:rsid w:val="001F2A9E"/>
    <w:rsid w:val="00211940"/>
    <w:rsid w:val="0024388A"/>
    <w:rsid w:val="00253A43"/>
    <w:rsid w:val="002548E8"/>
    <w:rsid w:val="0026456F"/>
    <w:rsid w:val="00272E21"/>
    <w:rsid w:val="0027601C"/>
    <w:rsid w:val="002863FA"/>
    <w:rsid w:val="00294FF2"/>
    <w:rsid w:val="0029593D"/>
    <w:rsid w:val="002B1D27"/>
    <w:rsid w:val="002C41DA"/>
    <w:rsid w:val="002D41C5"/>
    <w:rsid w:val="002E0829"/>
    <w:rsid w:val="002E1A87"/>
    <w:rsid w:val="002F4F41"/>
    <w:rsid w:val="0034752F"/>
    <w:rsid w:val="00353A49"/>
    <w:rsid w:val="003604D6"/>
    <w:rsid w:val="003A0D95"/>
    <w:rsid w:val="003F6A17"/>
    <w:rsid w:val="00421A5C"/>
    <w:rsid w:val="00426DE4"/>
    <w:rsid w:val="00436D98"/>
    <w:rsid w:val="00440C83"/>
    <w:rsid w:val="00460D6A"/>
    <w:rsid w:val="004D2183"/>
    <w:rsid w:val="004E25DC"/>
    <w:rsid w:val="00510A04"/>
    <w:rsid w:val="0052487F"/>
    <w:rsid w:val="00527B40"/>
    <w:rsid w:val="00557724"/>
    <w:rsid w:val="00581234"/>
    <w:rsid w:val="00582E65"/>
    <w:rsid w:val="00583EE3"/>
    <w:rsid w:val="005C64EC"/>
    <w:rsid w:val="005D37D3"/>
    <w:rsid w:val="005F05FC"/>
    <w:rsid w:val="005F15DE"/>
    <w:rsid w:val="005F1FD9"/>
    <w:rsid w:val="006844F7"/>
    <w:rsid w:val="0068533E"/>
    <w:rsid w:val="006C0988"/>
    <w:rsid w:val="006C4B85"/>
    <w:rsid w:val="006C6745"/>
    <w:rsid w:val="006C7320"/>
    <w:rsid w:val="006E7909"/>
    <w:rsid w:val="00700B68"/>
    <w:rsid w:val="007213AA"/>
    <w:rsid w:val="0075133A"/>
    <w:rsid w:val="00790E84"/>
    <w:rsid w:val="007A49E5"/>
    <w:rsid w:val="007C6317"/>
    <w:rsid w:val="007F56EF"/>
    <w:rsid w:val="00804D96"/>
    <w:rsid w:val="008072D6"/>
    <w:rsid w:val="008146F8"/>
    <w:rsid w:val="00856AA7"/>
    <w:rsid w:val="00873B05"/>
    <w:rsid w:val="00881197"/>
    <w:rsid w:val="008C0B7F"/>
    <w:rsid w:val="008C5E6C"/>
    <w:rsid w:val="009137E1"/>
    <w:rsid w:val="00930B25"/>
    <w:rsid w:val="00954F89"/>
    <w:rsid w:val="00964656"/>
    <w:rsid w:val="009A4297"/>
    <w:rsid w:val="009B17EF"/>
    <w:rsid w:val="009B5AA6"/>
    <w:rsid w:val="009C4B73"/>
    <w:rsid w:val="009C6C2E"/>
    <w:rsid w:val="009D0543"/>
    <w:rsid w:val="009E3AE3"/>
    <w:rsid w:val="00A12E5E"/>
    <w:rsid w:val="00A14704"/>
    <w:rsid w:val="00A2614B"/>
    <w:rsid w:val="00A91E7D"/>
    <w:rsid w:val="00AE0A32"/>
    <w:rsid w:val="00AF7190"/>
    <w:rsid w:val="00B003EE"/>
    <w:rsid w:val="00B24A06"/>
    <w:rsid w:val="00B45FEC"/>
    <w:rsid w:val="00B50892"/>
    <w:rsid w:val="00B62CAF"/>
    <w:rsid w:val="00BA60A5"/>
    <w:rsid w:val="00BB1548"/>
    <w:rsid w:val="00C3530D"/>
    <w:rsid w:val="00C612D2"/>
    <w:rsid w:val="00C63569"/>
    <w:rsid w:val="00C80BC3"/>
    <w:rsid w:val="00CC4164"/>
    <w:rsid w:val="00D00EA8"/>
    <w:rsid w:val="00D0167D"/>
    <w:rsid w:val="00D50DD0"/>
    <w:rsid w:val="00D513A7"/>
    <w:rsid w:val="00D51E18"/>
    <w:rsid w:val="00D708D7"/>
    <w:rsid w:val="00D8122C"/>
    <w:rsid w:val="00D83EDD"/>
    <w:rsid w:val="00D9792F"/>
    <w:rsid w:val="00DA0478"/>
    <w:rsid w:val="00DE5B9A"/>
    <w:rsid w:val="00DF2044"/>
    <w:rsid w:val="00E37A9F"/>
    <w:rsid w:val="00E57483"/>
    <w:rsid w:val="00EC6456"/>
    <w:rsid w:val="00F05CA9"/>
    <w:rsid w:val="00F34368"/>
    <w:rsid w:val="00F34834"/>
    <w:rsid w:val="00F37301"/>
    <w:rsid w:val="00F3791C"/>
    <w:rsid w:val="00F43D67"/>
    <w:rsid w:val="00F53968"/>
    <w:rsid w:val="00F54801"/>
    <w:rsid w:val="00F65D8F"/>
    <w:rsid w:val="00F748C2"/>
    <w:rsid w:val="00F90E4B"/>
    <w:rsid w:val="00F93C20"/>
    <w:rsid w:val="00FB0EC3"/>
    <w:rsid w:val="00FD43F3"/>
    <w:rsid w:val="012A6F5B"/>
    <w:rsid w:val="08EB4EA1"/>
    <w:rsid w:val="16B566C2"/>
    <w:rsid w:val="3C810F69"/>
    <w:rsid w:val="46DB4A4D"/>
    <w:rsid w:val="4F3C2E21"/>
    <w:rsid w:val="62642BF2"/>
    <w:rsid w:val="67FF9804"/>
    <w:rsid w:val="6DEA292E"/>
    <w:rsid w:val="7B84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6DABA"/>
  <w15:docId w15:val="{B90870FE-65F6-4971-93F2-39F06CF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宋体" w:eastAsia="宋体" w:hAnsi="Times New Roman" w:cs="Times New Roman"/>
      <w:kern w:val="0"/>
      <w:szCs w:val="20"/>
    </w:rPr>
  </w:style>
  <w:style w:type="character" w:customStyle="1" w:styleId="20">
    <w:name w:val="标题 2 字符"/>
    <w:basedOn w:val="a0"/>
    <w:link w:val="2"/>
    <w:uiPriority w:val="9"/>
    <w:qFormat/>
    <w:rPr>
      <w:rFonts w:ascii="Cambria" w:hAnsi="Cambria"/>
      <w:b/>
      <w:bCs/>
      <w:sz w:val="32"/>
      <w:szCs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xyuser</dc:creator>
  <cp:lastModifiedBy>北京市平谷区中医医院</cp:lastModifiedBy>
  <cp:revision>7</cp:revision>
  <dcterms:created xsi:type="dcterms:W3CDTF">2024-04-15T05:58:00Z</dcterms:created>
  <dcterms:modified xsi:type="dcterms:W3CDTF">2024-04-15T07:33:00Z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  <property fmtid="{D5CDD505-2E9C-101B-9397-08002B2CF9AE}" pid="3" name="ICV">
    <vt:lpwstr>69B605E1F1A44F4B8BA6635B4F0E18FB</vt:lpwstr>
  </property>
</Properties>
</file>