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453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40"/>
        <w:gridCol w:w="1095"/>
        <w:gridCol w:w="648"/>
        <w:gridCol w:w="1418"/>
        <w:gridCol w:w="8621"/>
        <w:gridCol w:w="1129"/>
        <w:gridCol w:w="107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序号</w:t>
            </w:r>
          </w:p>
        </w:tc>
        <w:tc>
          <w:tcPr>
            <w:tcW w:w="1095"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项目</w:t>
            </w:r>
          </w:p>
        </w:tc>
        <w:tc>
          <w:tcPr>
            <w:tcW w:w="648"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标准分</w:t>
            </w:r>
          </w:p>
        </w:tc>
        <w:tc>
          <w:tcPr>
            <w:tcW w:w="1418" w:type="dxa"/>
            <w:vAlign w:val="center"/>
          </w:tcPr>
          <w:p>
            <w:pPr>
              <w:spacing w:after="0" w:line="276" w:lineRule="auto"/>
              <w:jc w:val="center"/>
              <w:rPr>
                <w:rFonts w:ascii="宋体" w:hAnsi="宋体" w:eastAsia="宋体" w:cs="Arial"/>
                <w:b/>
                <w:sz w:val="24"/>
                <w14:ligatures w14:val="none"/>
              </w:rPr>
            </w:pPr>
            <w:r>
              <w:rPr>
                <w:rFonts w:ascii="宋体" w:hAnsi="宋体" w:eastAsia="宋体" w:cs="Arial"/>
                <w:b/>
                <w:sz w:val="24"/>
                <w14:ligatures w14:val="none"/>
              </w:rPr>
              <w:t>评审内容</w:t>
            </w:r>
          </w:p>
        </w:tc>
        <w:tc>
          <w:tcPr>
            <w:tcW w:w="8621"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评分标准</w:t>
            </w:r>
          </w:p>
        </w:tc>
        <w:tc>
          <w:tcPr>
            <w:tcW w:w="1129"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分值</w:t>
            </w:r>
          </w:p>
        </w:tc>
        <w:tc>
          <w:tcPr>
            <w:tcW w:w="1079" w:type="dxa"/>
            <w:vAlign w:val="center"/>
          </w:tcPr>
          <w:p>
            <w:pPr>
              <w:widowControl/>
              <w:spacing w:after="0" w:line="276" w:lineRule="auto"/>
              <w:jc w:val="center"/>
              <w:textAlignment w:val="center"/>
              <w:rPr>
                <w:rFonts w:ascii="宋体" w:hAnsi="宋体" w:eastAsia="宋体" w:cs="Arial"/>
                <w:b/>
                <w:sz w:val="24"/>
                <w14:ligatures w14:val="none"/>
              </w:rPr>
            </w:pPr>
            <w:r>
              <w:rPr>
                <w:rFonts w:ascii="宋体" w:hAnsi="宋体" w:eastAsia="宋体" w:cs="Arial"/>
                <w:b/>
                <w:kern w:val="0"/>
                <w:sz w:val="24"/>
                <w:lang w:bidi="ar"/>
                <w14:ligatures w14:val="none"/>
              </w:rPr>
              <w:t>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restart"/>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1</w:t>
            </w:r>
          </w:p>
        </w:tc>
        <w:tc>
          <w:tcPr>
            <w:tcW w:w="1095" w:type="dxa"/>
            <w:vMerge w:val="restart"/>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综合实力</w:t>
            </w:r>
          </w:p>
        </w:tc>
        <w:tc>
          <w:tcPr>
            <w:tcW w:w="648" w:type="dxa"/>
            <w:vMerge w:val="restart"/>
            <w:vAlign w:val="center"/>
          </w:tcPr>
          <w:p>
            <w:pPr>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20</w:t>
            </w:r>
          </w:p>
        </w:tc>
        <w:tc>
          <w:tcPr>
            <w:tcW w:w="1418" w:type="dxa"/>
            <w:vAlign w:val="center"/>
          </w:tcPr>
          <w:p>
            <w:pPr>
              <w:spacing w:after="0" w:line="276" w:lineRule="auto"/>
              <w:jc w:val="center"/>
              <w:rPr>
                <w:rFonts w:ascii="宋体" w:hAnsi="宋体" w:eastAsia="宋体" w:cs="Arial"/>
                <w:bCs/>
                <w:sz w:val="24"/>
                <w14:ligatures w14:val="none"/>
              </w:rPr>
            </w:pPr>
            <w:r>
              <w:rPr>
                <w:rFonts w:hint="eastAsia" w:ascii="宋体" w:hAnsi="宋体" w:eastAsia="宋体" w:cs="Arial"/>
                <w:bCs/>
                <w:sz w:val="24"/>
                <w14:ligatures w14:val="none"/>
              </w:rPr>
              <w:t>认证体系</w:t>
            </w:r>
          </w:p>
        </w:tc>
        <w:tc>
          <w:tcPr>
            <w:tcW w:w="8621" w:type="dxa"/>
            <w:vAlign w:val="center"/>
          </w:tcPr>
          <w:p>
            <w:pPr>
              <w:widowControl/>
              <w:spacing w:after="0" w:line="276" w:lineRule="auto"/>
              <w:textAlignment w:val="center"/>
              <w:rPr>
                <w:rFonts w:ascii="宋体" w:hAnsi="宋体" w:eastAsia="宋体" w:cs="Arial"/>
                <w:bCs/>
                <w:kern w:val="0"/>
                <w:sz w:val="24"/>
                <w:lang w:bidi="ar"/>
                <w14:ligatures w14:val="none"/>
              </w:rPr>
            </w:pPr>
            <w:r>
              <w:rPr>
                <w:rFonts w:hint="eastAsia" w:ascii="宋体" w:hAnsi="宋体" w:eastAsia="宋体" w:cs="宋体"/>
                <w:bCs/>
                <w:snapToGrid w:val="0"/>
                <w:color w:val="000000"/>
                <w:kern w:val="0"/>
                <w:sz w:val="24"/>
                <w:lang w:bidi="ar"/>
              </w:rPr>
              <w:t>具有有效期内的质量管理体系认证证书、环境管理体系认证证书、职业健康安全管理体系认证证书，（提供证书复印件加盖投标人公章），每提供1个证书得2分，最多得6分。</w:t>
            </w:r>
          </w:p>
        </w:tc>
        <w:tc>
          <w:tcPr>
            <w:tcW w:w="112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spacing w:after="0" w:line="276" w:lineRule="auto"/>
              <w:jc w:val="center"/>
              <w:rPr>
                <w:rFonts w:hint="eastAsia" w:ascii="宋体" w:hAnsi="宋体" w:eastAsia="宋体" w:cs="Arial"/>
                <w:bCs/>
                <w:sz w:val="24"/>
                <w14:ligatures w14:val="none"/>
              </w:rPr>
            </w:pPr>
            <w:r>
              <w:rPr>
                <w:rFonts w:hint="eastAsia" w:ascii="宋体" w:hAnsi="宋体" w:eastAsia="宋体" w:cs="宋体"/>
                <w:bCs/>
                <w:snapToGrid w:val="0"/>
                <w:color w:val="000000"/>
                <w:kern w:val="0"/>
                <w:sz w:val="24"/>
                <w:lang w:bidi="ar"/>
              </w:rPr>
              <w:t>办公场所</w:t>
            </w:r>
          </w:p>
        </w:tc>
        <w:tc>
          <w:tcPr>
            <w:tcW w:w="8621" w:type="dxa"/>
            <w:vAlign w:val="center"/>
          </w:tcPr>
          <w:p>
            <w:pPr>
              <w:widowControl/>
              <w:kinsoku w:val="0"/>
              <w:autoSpaceDE w:val="0"/>
              <w:autoSpaceDN w:val="0"/>
              <w:adjustRightInd w:val="0"/>
              <w:snapToGrid w:val="0"/>
              <w:spacing w:after="0" w:line="240" w:lineRule="auto"/>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根据参选人的场地配置进行评分：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1.具备独立的开标大厅得2分（需是独立的开标大厅，不得与评标室共用，否则不予计分）。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2.具备独立的评标区域且评标区域与其他办公区域之间具备独立门禁系统，具备录音录像等监控设备设施，得2分。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3.具备独立的监督室，得2分（需是独立的监督室，不得与其他办公用房共用，否则不予计分）。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4.企业具备固定办公场所，硬件情况良好，办公面积大于1000平方米的得</w:t>
            </w:r>
            <w:r>
              <w:rPr>
                <w:rFonts w:hint="eastAsia" w:ascii="宋体" w:hAnsi="宋体" w:eastAsia="宋体" w:cs="宋体"/>
                <w:bCs/>
                <w:snapToGrid w:val="0"/>
                <w:color w:val="000000"/>
                <w:kern w:val="0"/>
                <w:sz w:val="24"/>
                <w:lang w:val="en-US" w:eastAsia="zh-CN" w:bidi="ar"/>
                <w14:ligatures w14:val="none"/>
              </w:rPr>
              <w:t>2</w:t>
            </w:r>
            <w:r>
              <w:rPr>
                <w:rFonts w:hint="eastAsia" w:ascii="宋体" w:hAnsi="宋体" w:eastAsia="宋体" w:cs="宋体"/>
                <w:bCs/>
                <w:snapToGrid w:val="0"/>
                <w:color w:val="000000"/>
                <w:kern w:val="0"/>
                <w:sz w:val="24"/>
                <w:lang w:bidi="ar"/>
                <w14:ligatures w14:val="none"/>
              </w:rPr>
              <w:t>分，其他得</w:t>
            </w:r>
            <w:r>
              <w:rPr>
                <w:rFonts w:hint="eastAsia" w:ascii="宋体" w:hAnsi="宋体" w:eastAsia="宋体" w:cs="宋体"/>
                <w:bCs/>
                <w:snapToGrid w:val="0"/>
                <w:color w:val="000000"/>
                <w:kern w:val="0"/>
                <w:sz w:val="24"/>
                <w:lang w:val="en-US" w:eastAsia="zh-CN" w:bidi="ar"/>
                <w14:ligatures w14:val="none"/>
              </w:rPr>
              <w:t>1</w:t>
            </w:r>
            <w:r>
              <w:rPr>
                <w:rFonts w:hint="eastAsia" w:ascii="宋体" w:hAnsi="宋体" w:eastAsia="宋体" w:cs="宋体"/>
                <w:bCs/>
                <w:snapToGrid w:val="0"/>
                <w:color w:val="000000"/>
                <w:kern w:val="0"/>
                <w:sz w:val="24"/>
                <w:lang w:bidi="ar"/>
                <w14:ligatures w14:val="none"/>
              </w:rPr>
              <w:t>分，提供产权证明或租赁协议相关证明。</w:t>
            </w:r>
          </w:p>
          <w:p>
            <w:pPr>
              <w:widowControl/>
              <w:spacing w:after="0" w:line="276" w:lineRule="auto"/>
              <w:textAlignment w:val="center"/>
              <w:rPr>
                <w:rFonts w:hint="eastAsia" w:ascii="宋体" w:hAnsi="宋体" w:eastAsia="宋体" w:cs="宋体"/>
                <w:bCs/>
                <w:snapToGrid w:val="0"/>
                <w:color w:val="000000"/>
                <w:kern w:val="0"/>
                <w:sz w:val="24"/>
                <w:lang w:bidi="ar"/>
              </w:rPr>
            </w:pPr>
            <w:r>
              <w:rPr>
                <w:rFonts w:hint="eastAsia" w:ascii="宋体" w:hAnsi="宋体" w:eastAsia="宋体" w:cs="宋体"/>
                <w:bCs/>
                <w:snapToGrid w:val="0"/>
                <w:color w:val="000000"/>
                <w:kern w:val="0"/>
                <w:sz w:val="24"/>
                <w:lang w:bidi="ar"/>
                <w14:ligatures w14:val="none"/>
              </w:rPr>
              <w:t>（需提供场地配置照片并加盖投标人公章予以佐证，招标人有权对开评标场地进行实地检查）</w:t>
            </w:r>
          </w:p>
        </w:tc>
        <w:tc>
          <w:tcPr>
            <w:tcW w:w="1129" w:type="dxa"/>
            <w:vAlign w:val="center"/>
          </w:tcPr>
          <w:p>
            <w:pPr>
              <w:widowControl/>
              <w:spacing w:after="0" w:line="276" w:lineRule="auto"/>
              <w:jc w:val="center"/>
              <w:textAlignment w:val="center"/>
              <w:rPr>
                <w:rFonts w:hint="default" w:ascii="宋体" w:hAnsi="宋体" w:eastAsia="宋体" w:cs="Arial"/>
                <w:bCs/>
                <w:kern w:val="0"/>
                <w:sz w:val="24"/>
                <w:lang w:val="en-US" w:eastAsia="zh-CN" w:bidi="ar"/>
                <w14:ligatures w14:val="none"/>
              </w:rPr>
            </w:pPr>
            <w:r>
              <w:rPr>
                <w:rFonts w:hint="eastAsia" w:ascii="宋体" w:hAnsi="宋体" w:eastAsia="宋体" w:cs="Arial"/>
                <w:bCs/>
                <w:kern w:val="0"/>
                <w:sz w:val="24"/>
                <w:lang w:val="en-US" w:eastAsia="zh-CN" w:bidi="ar"/>
                <w14:ligatures w14:val="none"/>
              </w:rPr>
              <w:t>8</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648"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1418" w:type="dxa"/>
            <w:vAlign w:val="center"/>
          </w:tcPr>
          <w:p>
            <w:pPr>
              <w:spacing w:after="0" w:line="276" w:lineRule="auto"/>
              <w:jc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电子评标系统</w:t>
            </w:r>
          </w:p>
        </w:tc>
        <w:tc>
          <w:tcPr>
            <w:tcW w:w="8621" w:type="dxa"/>
            <w:vAlign w:val="center"/>
          </w:tcPr>
          <w:p>
            <w:pPr>
              <w:widowControl/>
              <w:spacing w:after="0" w:line="276" w:lineRule="auto"/>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提供电子化评标系统的，提供评标室、系统截图（至少体现以下功能或页面：登录页面、组建评标委员会界面、商务条款及评分因素设定页面、价格分计算界面、资格审查界面、评委打分界面、得分汇总页面、评审意见界面），满足上述要求的，得</w:t>
            </w:r>
            <w:r>
              <w:rPr>
                <w:rFonts w:hint="eastAsia" w:ascii="宋体" w:hAnsi="宋体" w:eastAsia="宋体" w:cs="Arial"/>
                <w:bCs/>
                <w:kern w:val="0"/>
                <w:sz w:val="24"/>
                <w:lang w:val="en-US" w:eastAsia="zh-CN" w:bidi="ar"/>
                <w14:ligatures w14:val="none"/>
              </w:rPr>
              <w:t>6</w:t>
            </w:r>
            <w:r>
              <w:rPr>
                <w:rFonts w:hint="eastAsia" w:ascii="宋体" w:hAnsi="宋体" w:eastAsia="宋体" w:cs="Arial"/>
                <w:bCs/>
                <w:kern w:val="0"/>
                <w:sz w:val="24"/>
                <w:lang w:bidi="ar"/>
                <w14:ligatures w14:val="none"/>
              </w:rPr>
              <w:t>分，否则得0分。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eastAsia="zh-CN" w:bidi="ar"/>
                <w14:ligatures w14:val="none"/>
              </w:rPr>
            </w:pPr>
            <w:r>
              <w:rPr>
                <w:rFonts w:hint="eastAsia" w:ascii="宋体" w:hAnsi="宋体" w:eastAsia="宋体" w:cs="Arial"/>
                <w:bCs/>
                <w:kern w:val="0"/>
                <w:sz w:val="24"/>
                <w:lang w:val="en-US" w:eastAsia="zh-CN"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765" w:hRule="atLeast"/>
        </w:trPr>
        <w:tc>
          <w:tcPr>
            <w:tcW w:w="540" w:type="dxa"/>
            <w:vMerge w:val="restart"/>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2</w:t>
            </w:r>
          </w:p>
        </w:tc>
        <w:tc>
          <w:tcPr>
            <w:tcW w:w="1095" w:type="dxa"/>
            <w:vMerge w:val="restart"/>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团队配备</w:t>
            </w:r>
          </w:p>
        </w:tc>
        <w:tc>
          <w:tcPr>
            <w:tcW w:w="648" w:type="dxa"/>
            <w:vMerge w:val="restart"/>
            <w:vAlign w:val="center"/>
          </w:tcPr>
          <w:p>
            <w:pPr>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10</w:t>
            </w:r>
          </w:p>
        </w:tc>
        <w:tc>
          <w:tcPr>
            <w:tcW w:w="1418" w:type="dxa"/>
            <w:vAlign w:val="center"/>
          </w:tcPr>
          <w:p>
            <w:pPr>
              <w:spacing w:after="0" w:line="276" w:lineRule="auto"/>
              <w:jc w:val="center"/>
              <w:rPr>
                <w:rFonts w:hint="eastAsia" w:ascii="宋体" w:hAnsi="宋体" w:eastAsia="宋体" w:cs="宋体"/>
                <w:bCs/>
                <w:snapToGrid w:val="0"/>
                <w:color w:val="000000"/>
                <w:kern w:val="0"/>
                <w:sz w:val="24"/>
                <w:lang w:bidi="ar"/>
              </w:rPr>
            </w:pPr>
            <w:r>
              <w:rPr>
                <w:rFonts w:hint="eastAsia" w:ascii="宋体" w:hAnsi="宋体" w:eastAsia="宋体" w:cs="宋体"/>
                <w:bCs/>
                <w:snapToGrid w:val="0"/>
                <w:color w:val="000000"/>
                <w:kern w:val="0"/>
                <w:sz w:val="24"/>
                <w:lang w:bidi="ar"/>
              </w:rPr>
              <w:t>项目负责人</w:t>
            </w:r>
          </w:p>
        </w:tc>
        <w:tc>
          <w:tcPr>
            <w:tcW w:w="8621" w:type="dxa"/>
            <w:vAlign w:val="center"/>
          </w:tcPr>
          <w:p>
            <w:pPr>
              <w:widowControl/>
              <w:spacing w:after="0" w:line="276" w:lineRule="auto"/>
              <w:textAlignment w:val="center"/>
              <w:rPr>
                <w:rFonts w:hint="eastAsia" w:ascii="宋体" w:hAnsi="宋体" w:eastAsia="宋体" w:cs="Arial"/>
                <w:bCs/>
                <w:kern w:val="0"/>
                <w:sz w:val="24"/>
                <w14:ligatures w14:val="none"/>
              </w:rPr>
            </w:pPr>
            <w:r>
              <w:rPr>
                <w:rFonts w:hint="eastAsia" w:ascii="宋体" w:hAnsi="宋体" w:eastAsia="宋体" w:cs="Arial"/>
                <w:bCs/>
                <w:kern w:val="0"/>
                <w:sz w:val="24"/>
                <w14:ligatures w14:val="none"/>
              </w:rPr>
              <w:t>1.项目负责人</w:t>
            </w:r>
            <w:bookmarkStart w:id="0" w:name="OLE_LINK3"/>
            <w:r>
              <w:rPr>
                <w:rFonts w:hint="eastAsia" w:ascii="宋体" w:hAnsi="宋体" w:eastAsia="宋体" w:cs="Arial"/>
                <w:bCs/>
                <w:kern w:val="0"/>
                <w:sz w:val="24"/>
                <w14:ligatures w14:val="none"/>
              </w:rPr>
              <w:t>具有10（不含）年以上招标代理工作经验得3分，</w:t>
            </w:r>
            <w:bookmarkEnd w:id="0"/>
            <w:r>
              <w:rPr>
                <w:rFonts w:hint="eastAsia" w:ascii="宋体" w:hAnsi="宋体" w:eastAsia="宋体" w:cs="Arial"/>
                <w:bCs/>
                <w:kern w:val="0"/>
                <w:sz w:val="24"/>
                <w14:ligatures w14:val="none"/>
              </w:rPr>
              <w:t>具有5（不含）-10（含）年招标代理工作经验得2分，具有5（含）年以下招标代理工作经验得1分，提供相关公告截图或项目负责人执业证书证明资料；</w:t>
            </w:r>
          </w:p>
          <w:p>
            <w:pPr>
              <w:widowControl/>
              <w:spacing w:after="0" w:line="276" w:lineRule="auto"/>
              <w:textAlignment w:val="center"/>
              <w:rPr>
                <w:rFonts w:hint="eastAsia" w:ascii="宋体" w:hAnsi="宋体" w:eastAsia="宋体" w:cs="宋体"/>
                <w:bCs/>
                <w:snapToGrid w:val="0"/>
                <w:color w:val="000000"/>
                <w:kern w:val="0"/>
                <w:sz w:val="24"/>
                <w:lang w:bidi="ar"/>
                <w14:ligatures w14:val="none"/>
              </w:rPr>
            </w:pPr>
            <w:r>
              <w:rPr>
                <w:rFonts w:hint="eastAsia" w:ascii="宋体" w:hAnsi="宋体" w:eastAsia="宋体" w:cs="Arial"/>
                <w:bCs/>
                <w:kern w:val="0"/>
                <w:sz w:val="24"/>
                <w14:ligatures w14:val="none"/>
              </w:rPr>
              <w:t>2.</w:t>
            </w:r>
            <w:r>
              <w:rPr>
                <w:rFonts w:ascii="宋体" w:hAnsi="宋体" w:eastAsia="宋体" w:cs="Arial"/>
                <w:bCs/>
                <w:kern w:val="0"/>
                <w:sz w:val="24"/>
                <w14:ligatures w14:val="none"/>
              </w:rPr>
              <w:t>具有高级及以上职称，得2分；具有中级职称，得1分；初级或无职称，得0分。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5</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648" w:type="dxa"/>
            <w:vMerge w:val="continue"/>
            <w:vAlign w:val="center"/>
          </w:tcPr>
          <w:p>
            <w:pPr>
              <w:widowControl/>
              <w:spacing w:after="0" w:line="276" w:lineRule="auto"/>
              <w:jc w:val="center"/>
              <w:textAlignment w:val="center"/>
              <w:rPr>
                <w:rFonts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项目团队</w:t>
            </w:r>
          </w:p>
        </w:tc>
        <w:tc>
          <w:tcPr>
            <w:tcW w:w="8621"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配置人员数量满足采购要求，专业合理，经验丰富，得5分；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配置人员数量基本满足采购要求，专业较合理，经验较丰富，得2分；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配置人员数量不满足采购要求，专业不合理，经验较差，得0分。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eastAsia="zh-CN" w:bidi="ar"/>
                <w14:ligatures w14:val="none"/>
              </w:rPr>
            </w:pPr>
            <w:r>
              <w:rPr>
                <w:rFonts w:hint="eastAsia" w:ascii="宋体" w:hAnsi="宋体" w:eastAsia="宋体" w:cs="宋体"/>
                <w:bCs/>
                <w:snapToGrid w:val="0"/>
                <w:color w:val="000000"/>
                <w:kern w:val="0"/>
                <w:sz w:val="24"/>
                <w:lang w:eastAsia="zh-CN" w:bidi="ar"/>
                <w14:ligatures w14:val="none"/>
              </w:rPr>
              <w:t>（</w:t>
            </w:r>
            <w:r>
              <w:rPr>
                <w:rFonts w:hint="eastAsia" w:ascii="宋体" w:hAnsi="宋体" w:eastAsia="宋体" w:cs="宋体"/>
                <w:bCs/>
                <w:snapToGrid w:val="0"/>
                <w:color w:val="000000"/>
                <w:kern w:val="0"/>
                <w:sz w:val="24"/>
                <w:lang w:val="en-US" w:eastAsia="zh-CN" w:bidi="ar"/>
                <w14:ligatures w14:val="none"/>
              </w:rPr>
              <w:t>对第一包、第二包、第三包分别根据不同的项目属性，提供不同的团队配置</w:t>
            </w:r>
            <w:r>
              <w:rPr>
                <w:rFonts w:hint="eastAsia" w:ascii="宋体" w:hAnsi="宋体" w:eastAsia="宋体" w:cs="宋体"/>
                <w:bCs/>
                <w:snapToGrid w:val="0"/>
                <w:color w:val="000000"/>
                <w:kern w:val="0"/>
                <w:sz w:val="24"/>
                <w:lang w:eastAsia="zh-CN" w:bidi="ar"/>
                <w14:ligatures w14:val="none"/>
              </w:rPr>
              <w:t>）</w:t>
            </w:r>
          </w:p>
        </w:tc>
        <w:tc>
          <w:tcPr>
            <w:tcW w:w="112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5</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3</w:t>
            </w:r>
          </w:p>
        </w:tc>
        <w:tc>
          <w:tcPr>
            <w:tcW w:w="1095" w:type="dxa"/>
            <w:vAlign w:val="center"/>
          </w:tcPr>
          <w:p>
            <w:pPr>
              <w:widowControl/>
              <w:spacing w:after="0" w:line="276" w:lineRule="auto"/>
              <w:jc w:val="center"/>
              <w:textAlignment w:val="center"/>
              <w:rPr>
                <w:rFonts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企业业绩</w:t>
            </w:r>
          </w:p>
        </w:tc>
        <w:tc>
          <w:tcPr>
            <w:tcW w:w="648"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15</w:t>
            </w:r>
          </w:p>
        </w:tc>
        <w:tc>
          <w:tcPr>
            <w:tcW w:w="1418" w:type="dxa"/>
            <w:vAlign w:val="center"/>
          </w:tcPr>
          <w:p>
            <w:pPr>
              <w:widowControl/>
              <w:kinsoku w:val="0"/>
              <w:autoSpaceDE w:val="0"/>
              <w:autoSpaceDN w:val="0"/>
              <w:adjustRightInd w:val="0"/>
              <w:snapToGrid w:val="0"/>
              <w:spacing w:after="0" w:line="240" w:lineRule="auto"/>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企业业绩</w:t>
            </w:r>
          </w:p>
        </w:tc>
        <w:tc>
          <w:tcPr>
            <w:tcW w:w="8621" w:type="dxa"/>
            <w:vAlign w:val="center"/>
          </w:tcPr>
          <w:p>
            <w:pPr>
              <w:pStyle w:val="30"/>
              <w:widowControl/>
              <w:numPr>
                <w:ilvl w:val="0"/>
                <w:numId w:val="0"/>
              </w:numPr>
              <w:kinsoku w:val="0"/>
              <w:autoSpaceDE w:val="0"/>
              <w:autoSpaceDN w:val="0"/>
              <w:adjustRightInd w:val="0"/>
              <w:snapToGrid w:val="0"/>
              <w:spacing w:after="0" w:line="240" w:lineRule="auto"/>
              <w:ind w:left="360" w:leftChars="0" w:hanging="360" w:firstLineChars="0"/>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szCs w:val="24"/>
                <w:lang w:val="en-US" w:eastAsia="zh-CN" w:bidi="ar"/>
                <w14:ligatures w14:val="none"/>
              </w:rPr>
              <w:t>第一包</w:t>
            </w:r>
            <w:r>
              <w:rPr>
                <w:rFonts w:hint="default" w:ascii="宋体" w:hAnsi="宋体" w:eastAsia="宋体" w:cs="宋体"/>
                <w:bCs/>
                <w:snapToGrid w:val="0"/>
                <w:color w:val="000000"/>
                <w:kern w:val="0"/>
                <w:sz w:val="24"/>
                <w:szCs w:val="24"/>
                <w:lang w:val="en-US" w:eastAsia="zh-CN" w:bidi="ar"/>
                <w14:ligatures w14:val="none"/>
              </w:rPr>
              <w:t>.</w:t>
            </w:r>
            <w:r>
              <w:rPr>
                <w:rFonts w:hint="eastAsia" w:ascii="宋体" w:hAnsi="宋体" w:eastAsia="宋体" w:cs="宋体"/>
                <w:bCs/>
                <w:snapToGrid w:val="0"/>
                <w:color w:val="000000"/>
                <w:kern w:val="0"/>
                <w:sz w:val="24"/>
                <w:lang w:bidi="ar"/>
                <w14:ligatures w14:val="none"/>
              </w:rPr>
              <w:t>近三年承担过工程类招标代理项目，每提供一项得1分，最高得</w:t>
            </w:r>
            <w:r>
              <w:rPr>
                <w:rFonts w:hint="eastAsia" w:ascii="宋体" w:hAnsi="宋体" w:eastAsia="宋体" w:cs="宋体"/>
                <w:bCs/>
                <w:snapToGrid w:val="0"/>
                <w:color w:val="000000"/>
                <w:kern w:val="0"/>
                <w:sz w:val="24"/>
                <w:lang w:val="en-US" w:eastAsia="zh-CN" w:bidi="ar"/>
                <w14:ligatures w14:val="none"/>
              </w:rPr>
              <w:t>1</w:t>
            </w:r>
            <w:r>
              <w:rPr>
                <w:rFonts w:hint="eastAsia" w:ascii="宋体" w:hAnsi="宋体" w:eastAsia="宋体" w:cs="宋体"/>
                <w:bCs/>
                <w:snapToGrid w:val="0"/>
                <w:color w:val="000000"/>
                <w:kern w:val="0"/>
                <w:sz w:val="24"/>
                <w:lang w:bidi="ar"/>
                <w14:ligatures w14:val="none"/>
              </w:rPr>
              <w:t>5分；</w:t>
            </w:r>
          </w:p>
          <w:p>
            <w:pPr>
              <w:pStyle w:val="30"/>
              <w:widowControl/>
              <w:numPr>
                <w:ilvl w:val="0"/>
                <w:numId w:val="0"/>
              </w:numPr>
              <w:kinsoku w:val="0"/>
              <w:autoSpaceDE w:val="0"/>
              <w:autoSpaceDN w:val="0"/>
              <w:adjustRightInd w:val="0"/>
              <w:snapToGrid w:val="0"/>
              <w:spacing w:after="0" w:line="240" w:lineRule="auto"/>
              <w:ind w:left="360" w:leftChars="0" w:hanging="360" w:firstLineChars="0"/>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szCs w:val="24"/>
                <w:lang w:val="en-US" w:eastAsia="zh-CN" w:bidi="ar"/>
                <w14:ligatures w14:val="none"/>
              </w:rPr>
              <w:t>第二包</w:t>
            </w:r>
            <w:r>
              <w:rPr>
                <w:rFonts w:hint="default" w:ascii="宋体" w:hAnsi="宋体" w:eastAsia="宋体" w:cs="宋体"/>
                <w:bCs/>
                <w:snapToGrid w:val="0"/>
                <w:color w:val="000000"/>
                <w:kern w:val="0"/>
                <w:sz w:val="24"/>
                <w:szCs w:val="24"/>
                <w:lang w:val="en-US" w:eastAsia="zh-CN" w:bidi="ar"/>
                <w14:ligatures w14:val="none"/>
              </w:rPr>
              <w:t>.</w:t>
            </w:r>
            <w:r>
              <w:rPr>
                <w:rFonts w:hint="eastAsia" w:ascii="宋体" w:hAnsi="宋体" w:eastAsia="宋体" w:cs="宋体"/>
                <w:bCs/>
                <w:snapToGrid w:val="0"/>
                <w:color w:val="000000"/>
                <w:kern w:val="0"/>
                <w:sz w:val="24"/>
                <w:lang w:bidi="ar"/>
                <w14:ligatures w14:val="none"/>
              </w:rPr>
              <w:t>近三年承担过货物类代理代理项目，每提供一项得1分，最高得</w:t>
            </w:r>
            <w:r>
              <w:rPr>
                <w:rFonts w:hint="eastAsia" w:ascii="宋体" w:hAnsi="宋体" w:eastAsia="宋体" w:cs="宋体"/>
                <w:bCs/>
                <w:snapToGrid w:val="0"/>
                <w:color w:val="000000"/>
                <w:kern w:val="0"/>
                <w:sz w:val="24"/>
                <w:lang w:val="en-US" w:eastAsia="zh-CN" w:bidi="ar"/>
                <w14:ligatures w14:val="none"/>
              </w:rPr>
              <w:t>1</w:t>
            </w:r>
            <w:r>
              <w:rPr>
                <w:rFonts w:hint="eastAsia" w:ascii="宋体" w:hAnsi="宋体" w:eastAsia="宋体" w:cs="宋体"/>
                <w:bCs/>
                <w:snapToGrid w:val="0"/>
                <w:color w:val="000000"/>
                <w:kern w:val="0"/>
                <w:sz w:val="24"/>
                <w:lang w:bidi="ar"/>
                <w14:ligatures w14:val="none"/>
              </w:rPr>
              <w:t>5分；</w:t>
            </w:r>
          </w:p>
          <w:p>
            <w:pPr>
              <w:pStyle w:val="30"/>
              <w:widowControl/>
              <w:numPr>
                <w:ilvl w:val="0"/>
                <w:numId w:val="0"/>
              </w:numPr>
              <w:kinsoku w:val="0"/>
              <w:autoSpaceDE w:val="0"/>
              <w:autoSpaceDN w:val="0"/>
              <w:adjustRightInd w:val="0"/>
              <w:snapToGrid w:val="0"/>
              <w:spacing w:after="0" w:line="240" w:lineRule="auto"/>
              <w:ind w:left="360" w:leftChars="0" w:hanging="360" w:firstLineChars="0"/>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szCs w:val="24"/>
                <w:lang w:val="en-US" w:eastAsia="zh-CN" w:bidi="ar"/>
                <w14:ligatures w14:val="none"/>
              </w:rPr>
              <w:t>第三包</w:t>
            </w:r>
            <w:r>
              <w:rPr>
                <w:rFonts w:hint="default" w:ascii="宋体" w:hAnsi="宋体" w:eastAsia="宋体" w:cs="宋体"/>
                <w:bCs/>
                <w:snapToGrid w:val="0"/>
                <w:color w:val="000000"/>
                <w:kern w:val="0"/>
                <w:sz w:val="24"/>
                <w:szCs w:val="24"/>
                <w:lang w:val="en-US" w:eastAsia="zh-CN" w:bidi="ar"/>
                <w14:ligatures w14:val="none"/>
              </w:rPr>
              <w:t>.</w:t>
            </w:r>
            <w:r>
              <w:rPr>
                <w:rFonts w:hint="eastAsia" w:ascii="宋体" w:hAnsi="宋体" w:eastAsia="宋体" w:cs="宋体"/>
                <w:bCs/>
                <w:snapToGrid w:val="0"/>
                <w:color w:val="000000"/>
                <w:kern w:val="0"/>
                <w:sz w:val="24"/>
                <w:lang w:bidi="ar"/>
                <w14:ligatures w14:val="none"/>
              </w:rPr>
              <w:t>近三年承担过服务类招标代理项目，每提供一项得1分，最高得</w:t>
            </w:r>
            <w:r>
              <w:rPr>
                <w:rFonts w:hint="eastAsia" w:ascii="宋体" w:hAnsi="宋体" w:eastAsia="宋体" w:cs="宋体"/>
                <w:bCs/>
                <w:snapToGrid w:val="0"/>
                <w:color w:val="000000"/>
                <w:kern w:val="0"/>
                <w:sz w:val="24"/>
                <w:lang w:val="en-US" w:eastAsia="zh-CN" w:bidi="ar"/>
                <w14:ligatures w14:val="none"/>
              </w:rPr>
              <w:t>1</w:t>
            </w:r>
            <w:r>
              <w:rPr>
                <w:rFonts w:hint="eastAsia" w:ascii="宋体" w:hAnsi="宋体" w:eastAsia="宋体" w:cs="宋体"/>
                <w:bCs/>
                <w:snapToGrid w:val="0"/>
                <w:color w:val="000000"/>
                <w:kern w:val="0"/>
                <w:sz w:val="24"/>
                <w:lang w:bidi="ar"/>
                <w14:ligatures w14:val="none"/>
              </w:rPr>
              <w:t>5分；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ascii="宋体" w:hAnsi="宋体" w:eastAsia="宋体" w:cs="宋体"/>
                <w:bCs/>
                <w:snapToGrid w:val="0"/>
                <w:color w:val="000000"/>
                <w:kern w:val="0"/>
                <w:sz w:val="24"/>
                <w:lang w:bidi="ar"/>
                <w14:ligatures w14:val="none"/>
              </w:rPr>
              <w:t>注：</w:t>
            </w:r>
            <w:r>
              <w:rPr>
                <w:rFonts w:hint="eastAsia" w:ascii="宋体" w:hAnsi="宋体" w:eastAsia="宋体" w:cs="宋体"/>
                <w:bCs/>
                <w:snapToGrid w:val="0"/>
                <w:color w:val="000000"/>
                <w:kern w:val="0"/>
                <w:sz w:val="24"/>
                <w:lang w:bidi="ar"/>
                <w14:ligatures w14:val="none"/>
              </w:rPr>
              <w:t>提供</w:t>
            </w:r>
            <w:r>
              <w:rPr>
                <w:rFonts w:ascii="宋体" w:hAnsi="宋体" w:eastAsia="宋体" w:cs="宋体"/>
                <w:bCs/>
                <w:snapToGrid w:val="0"/>
                <w:color w:val="000000"/>
                <w:kern w:val="0"/>
                <w:sz w:val="24"/>
                <w:lang w:bidi="ar"/>
                <w14:ligatures w14:val="none"/>
              </w:rPr>
              <w:t>招标代理合同主要部分复印件，否则不得分。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15</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restart"/>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4</w:t>
            </w:r>
          </w:p>
        </w:tc>
        <w:tc>
          <w:tcPr>
            <w:tcW w:w="1095" w:type="dxa"/>
            <w:vMerge w:val="restart"/>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招标代理服务方案</w:t>
            </w:r>
          </w:p>
        </w:tc>
        <w:tc>
          <w:tcPr>
            <w:tcW w:w="648" w:type="dxa"/>
            <w:vMerge w:val="restart"/>
            <w:vAlign w:val="center"/>
          </w:tcPr>
          <w:p>
            <w:pPr>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宋体"/>
                <w:snapToGrid w:val="0"/>
                <w:color w:val="000000"/>
                <w:kern w:val="0"/>
                <w:sz w:val="24"/>
                <w:lang w:bidi="ar"/>
              </w:rPr>
              <w:t>45</w:t>
            </w: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招标代理实施</w:t>
            </w:r>
            <w:r>
              <w:rPr>
                <w:rFonts w:hint="eastAsia" w:ascii="宋体" w:hAnsi="宋体" w:eastAsia="宋体" w:cs="宋体"/>
                <w:bCs/>
                <w:snapToGrid w:val="0"/>
                <w:color w:val="000000"/>
                <w:kern w:val="0"/>
                <w:sz w:val="24"/>
                <w:lang w:eastAsia="zh-CN" w:bidi="ar"/>
                <w14:ligatures w14:val="none"/>
              </w:rPr>
              <w:t>方</w:t>
            </w:r>
            <w:r>
              <w:rPr>
                <w:rFonts w:hint="eastAsia" w:ascii="宋体" w:hAnsi="宋体" w:eastAsia="宋体" w:cs="宋体"/>
                <w:bCs/>
                <w:snapToGrid w:val="0"/>
                <w:color w:val="000000"/>
                <w:kern w:val="0"/>
                <w:sz w:val="24"/>
                <w:lang w:bidi="ar"/>
                <w14:ligatures w14:val="none"/>
              </w:rPr>
              <w:t>案</w:t>
            </w:r>
          </w:p>
        </w:tc>
        <w:tc>
          <w:tcPr>
            <w:tcW w:w="8621" w:type="dxa"/>
            <w:vAlign w:val="center"/>
          </w:tcPr>
          <w:p>
            <w:pPr>
              <w:widowControl/>
              <w:numPr>
                <w:ilvl w:val="0"/>
                <w:numId w:val="1"/>
              </w:numPr>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 xml:space="preserve">内容详实合理、代理业务理解深刻、方案思路清晰、管理措施明确针对性强的，得 </w:t>
            </w:r>
            <w:r>
              <w:rPr>
                <w:rFonts w:hint="eastAsia" w:ascii="宋体" w:hAnsi="宋体" w:eastAsia="宋体" w:cs="宋体"/>
                <w:bCs/>
                <w:snapToGrid w:val="0"/>
                <w:color w:val="000000"/>
                <w:kern w:val="0"/>
                <w:sz w:val="24"/>
                <w:lang w:val="en-US" w:eastAsia="zh-CN" w:bidi="ar"/>
                <w14:ligatures w14:val="none"/>
              </w:rPr>
              <w:t>13-</w:t>
            </w:r>
            <w:r>
              <w:rPr>
                <w:rFonts w:ascii="宋体" w:hAnsi="宋体" w:eastAsia="宋体" w:cs="宋体"/>
                <w:bCs/>
                <w:snapToGrid w:val="0"/>
                <w:color w:val="000000"/>
                <w:kern w:val="0"/>
                <w:sz w:val="24"/>
                <w:lang w:bidi="ar"/>
                <w14:ligatures w14:val="none"/>
              </w:rPr>
              <w:t>15</w:t>
            </w:r>
            <w:r>
              <w:rPr>
                <w:rFonts w:hint="eastAsia" w:ascii="宋体" w:hAnsi="宋体" w:eastAsia="宋体" w:cs="宋体"/>
                <w:bCs/>
                <w:snapToGrid w:val="0"/>
                <w:color w:val="000000"/>
                <w:kern w:val="0"/>
                <w:sz w:val="24"/>
                <w:lang w:bidi="ar"/>
                <w14:ligatures w14:val="none"/>
              </w:rPr>
              <w:t>分；</w:t>
            </w:r>
          </w:p>
          <w:p>
            <w:pPr>
              <w:widowControl/>
              <w:numPr>
                <w:ilvl w:val="0"/>
                <w:numId w:val="1"/>
              </w:numPr>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内容较详实较合理、理解较为深刻、思路较清晰、管理较明确的，得</w:t>
            </w:r>
            <w:r>
              <w:rPr>
                <w:rFonts w:hint="eastAsia" w:ascii="宋体" w:hAnsi="宋体" w:eastAsia="宋体" w:cs="宋体"/>
                <w:bCs/>
                <w:snapToGrid w:val="0"/>
                <w:color w:val="000000"/>
                <w:kern w:val="0"/>
                <w:sz w:val="24"/>
                <w:lang w:val="en-US" w:eastAsia="zh-CN" w:bidi="ar"/>
                <w14:ligatures w14:val="none"/>
              </w:rPr>
              <w:t>9-</w:t>
            </w:r>
            <w:r>
              <w:rPr>
                <w:rFonts w:ascii="宋体" w:hAnsi="宋体" w:eastAsia="宋体" w:cs="宋体"/>
                <w:bCs/>
                <w:snapToGrid w:val="0"/>
                <w:color w:val="000000"/>
                <w:kern w:val="0"/>
                <w:sz w:val="24"/>
                <w:lang w:bidi="ar"/>
                <w14:ligatures w14:val="none"/>
              </w:rPr>
              <w:t>1</w:t>
            </w:r>
            <w:r>
              <w:rPr>
                <w:rFonts w:hint="eastAsia" w:ascii="宋体" w:hAnsi="宋体" w:eastAsia="宋体" w:cs="宋体"/>
                <w:bCs/>
                <w:snapToGrid w:val="0"/>
                <w:color w:val="000000"/>
                <w:kern w:val="0"/>
                <w:sz w:val="24"/>
                <w:lang w:bidi="ar"/>
                <w14:ligatures w14:val="none"/>
              </w:rPr>
              <w:t>2分；</w:t>
            </w:r>
          </w:p>
          <w:p>
            <w:pPr>
              <w:widowControl/>
              <w:numPr>
                <w:ilvl w:val="0"/>
                <w:numId w:val="1"/>
              </w:numPr>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内容简单，理解一般、方案思路一般、针对性一般的，得</w:t>
            </w:r>
            <w:r>
              <w:rPr>
                <w:rFonts w:hint="eastAsia" w:ascii="宋体" w:hAnsi="宋体" w:eastAsia="宋体" w:cs="宋体"/>
                <w:bCs/>
                <w:snapToGrid w:val="0"/>
                <w:color w:val="000000"/>
                <w:kern w:val="0"/>
                <w:sz w:val="24"/>
                <w:lang w:val="en-US" w:eastAsia="zh-CN" w:bidi="ar"/>
                <w14:ligatures w14:val="none"/>
              </w:rPr>
              <w:t>4-</w:t>
            </w:r>
            <w:r>
              <w:rPr>
                <w:rFonts w:hint="eastAsia" w:ascii="宋体" w:hAnsi="宋体" w:eastAsia="宋体" w:cs="宋体"/>
                <w:bCs/>
                <w:snapToGrid w:val="0"/>
                <w:color w:val="000000"/>
                <w:kern w:val="0"/>
                <w:sz w:val="24"/>
                <w:lang w:bidi="ar"/>
                <w14:ligatures w14:val="none"/>
              </w:rPr>
              <w:t>8分；</w:t>
            </w:r>
          </w:p>
          <w:p>
            <w:pPr>
              <w:widowControl/>
              <w:numPr>
                <w:ilvl w:val="0"/>
                <w:numId w:val="1"/>
              </w:numPr>
              <w:kinsoku w:val="0"/>
              <w:autoSpaceDE w:val="0"/>
              <w:autoSpaceDN w:val="0"/>
              <w:adjustRightInd w:val="0"/>
              <w:snapToGrid w:val="0"/>
              <w:spacing w:after="0" w:line="240" w:lineRule="auto"/>
              <w:textAlignment w:val="top"/>
              <w:rPr>
                <w:rFonts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内容较简单、基本合理、思路不清晰、无管理措施的，得</w:t>
            </w:r>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3分；</w:t>
            </w:r>
          </w:p>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hAnsi="宋体"/>
                <w:sz w:val="21"/>
                <w:szCs w:val="21"/>
              </w:rPr>
              <w:t>采购、重点难点分析准确到位，各项管理措施明确的</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15</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质量控制方案</w:t>
            </w:r>
          </w:p>
        </w:tc>
        <w:tc>
          <w:tcPr>
            <w:tcW w:w="8621" w:type="dxa"/>
            <w:vAlign w:val="center"/>
          </w:tcPr>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评审委员会对项目质量控制方案进行评价：</w:t>
            </w:r>
          </w:p>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1、内容详实、方案细致、措施有效、可行性强的，得</w:t>
            </w:r>
            <w:r>
              <w:rPr>
                <w:rFonts w:hint="eastAsia" w:ascii="宋体" w:hAnsi="宋体" w:eastAsia="宋体" w:cs="宋体"/>
                <w:bCs/>
                <w:snapToGrid w:val="0"/>
                <w:color w:val="000000"/>
                <w:kern w:val="0"/>
                <w:sz w:val="24"/>
                <w:lang w:val="en-US" w:eastAsia="zh-CN" w:bidi="ar"/>
                <w14:ligatures w14:val="none"/>
              </w:rPr>
              <w:t>5-</w:t>
            </w:r>
            <w:r>
              <w:rPr>
                <w:rFonts w:hint="eastAsia" w:ascii="宋体" w:hAnsi="宋体" w:eastAsia="宋体" w:cs="宋体"/>
                <w:bCs/>
                <w:snapToGrid w:val="0"/>
                <w:color w:val="000000"/>
                <w:kern w:val="0"/>
                <w:sz w:val="24"/>
                <w:lang w:bidi="ar"/>
                <w14:ligatures w14:val="none"/>
              </w:rPr>
              <w:t>6分；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2、内容简单、措施可行性较为可行的，得</w:t>
            </w:r>
            <w:r>
              <w:rPr>
                <w:rFonts w:hint="eastAsia" w:ascii="宋体" w:hAnsi="宋体" w:eastAsia="宋体" w:cs="宋体"/>
                <w:bCs/>
                <w:snapToGrid w:val="0"/>
                <w:color w:val="000000"/>
                <w:kern w:val="0"/>
                <w:sz w:val="24"/>
                <w:lang w:val="en-US" w:eastAsia="zh-CN" w:bidi="ar"/>
                <w14:ligatures w14:val="none"/>
              </w:rPr>
              <w:t>3-</w:t>
            </w:r>
            <w:r>
              <w:rPr>
                <w:rFonts w:hint="eastAsia" w:ascii="宋体" w:hAnsi="宋体" w:eastAsia="宋体" w:cs="宋体"/>
                <w:bCs/>
                <w:snapToGrid w:val="0"/>
                <w:color w:val="000000"/>
                <w:kern w:val="0"/>
                <w:sz w:val="24"/>
                <w:lang w:bidi="ar"/>
                <w14:ligatures w14:val="none"/>
              </w:rPr>
              <w:t>4分；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3、内容较简单，基本符合，得</w:t>
            </w:r>
            <w:bookmarkStart w:id="1" w:name="OLE_LINK6"/>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2</w:t>
            </w:r>
            <w:bookmarkEnd w:id="1"/>
            <w:r>
              <w:rPr>
                <w:rFonts w:hint="eastAsia" w:ascii="宋体" w:hAnsi="宋体" w:eastAsia="宋体" w:cs="宋体"/>
                <w:bCs/>
                <w:snapToGrid w:val="0"/>
                <w:color w:val="000000"/>
                <w:kern w:val="0"/>
                <w:sz w:val="24"/>
                <w:lang w:bidi="ar"/>
                <w14:ligatures w14:val="none"/>
              </w:rPr>
              <w:t>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1252" w:hRule="atLeast"/>
        </w:trPr>
        <w:tc>
          <w:tcPr>
            <w:tcW w:w="540"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进度保障措施</w:t>
            </w:r>
          </w:p>
        </w:tc>
        <w:tc>
          <w:tcPr>
            <w:tcW w:w="8621" w:type="dxa"/>
            <w:vAlign w:val="center"/>
          </w:tcPr>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评审委员会对</w:t>
            </w:r>
            <w:bookmarkStart w:id="2" w:name="_GoBack"/>
            <w:bookmarkEnd w:id="2"/>
            <w:r>
              <w:rPr>
                <w:rFonts w:hint="eastAsia" w:ascii="宋体" w:hAnsi="宋体" w:eastAsia="宋体" w:cs="宋体"/>
                <w:bCs/>
                <w:snapToGrid w:val="0"/>
                <w:color w:val="000000"/>
                <w:kern w:val="0"/>
                <w:sz w:val="24"/>
                <w:lang w:bidi="ar"/>
                <w14:ligatures w14:val="none"/>
              </w:rPr>
              <w:t>进度保障措施进行评价：</w:t>
            </w:r>
          </w:p>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1、内容详实、方案细致、措施有效、可行性强的，得</w:t>
            </w:r>
            <w:r>
              <w:rPr>
                <w:rFonts w:hint="eastAsia" w:ascii="宋体" w:hAnsi="宋体" w:eastAsia="宋体" w:cs="宋体"/>
                <w:bCs/>
                <w:snapToGrid w:val="0"/>
                <w:color w:val="000000"/>
                <w:kern w:val="0"/>
                <w:sz w:val="24"/>
                <w:lang w:val="en-US" w:eastAsia="zh-CN" w:bidi="ar"/>
                <w14:ligatures w14:val="none"/>
              </w:rPr>
              <w:t>5-</w:t>
            </w:r>
            <w:r>
              <w:rPr>
                <w:rFonts w:hint="eastAsia" w:ascii="宋体" w:hAnsi="宋体" w:eastAsia="宋体" w:cs="宋体"/>
                <w:bCs/>
                <w:snapToGrid w:val="0"/>
                <w:color w:val="000000"/>
                <w:kern w:val="0"/>
                <w:sz w:val="24"/>
                <w:lang w:bidi="ar"/>
                <w14:ligatures w14:val="none"/>
              </w:rPr>
              <w:t>6分；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2、内容简单、措施可行性较为可行的，得</w:t>
            </w:r>
            <w:r>
              <w:rPr>
                <w:rFonts w:hint="eastAsia" w:ascii="宋体" w:hAnsi="宋体" w:eastAsia="宋体" w:cs="宋体"/>
                <w:bCs/>
                <w:snapToGrid w:val="0"/>
                <w:color w:val="000000"/>
                <w:kern w:val="0"/>
                <w:sz w:val="24"/>
                <w:lang w:val="en-US" w:eastAsia="zh-CN" w:bidi="ar"/>
                <w14:ligatures w14:val="none"/>
              </w:rPr>
              <w:t>3-</w:t>
            </w:r>
            <w:r>
              <w:rPr>
                <w:rFonts w:hint="eastAsia" w:ascii="宋体" w:hAnsi="宋体" w:eastAsia="宋体" w:cs="宋体"/>
                <w:bCs/>
                <w:snapToGrid w:val="0"/>
                <w:color w:val="000000"/>
                <w:kern w:val="0"/>
                <w:sz w:val="24"/>
                <w:lang w:bidi="ar"/>
                <w14:ligatures w14:val="none"/>
              </w:rPr>
              <w:t>4分；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3、内容较简单，基本符合，得</w:t>
            </w:r>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2分。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质疑或投诉解决方案</w:t>
            </w:r>
          </w:p>
        </w:tc>
        <w:tc>
          <w:tcPr>
            <w:tcW w:w="8621" w:type="dxa"/>
            <w:vAlign w:val="center"/>
          </w:tcPr>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对参选人提供的质疑或投诉处理及解决方案进行比较：</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1、内容详实、方案细致、措施有效、可行性强的，得</w:t>
            </w:r>
            <w:r>
              <w:rPr>
                <w:rFonts w:hint="eastAsia" w:ascii="宋体" w:hAnsi="宋体" w:eastAsia="宋体" w:cs="宋体"/>
                <w:bCs/>
                <w:snapToGrid w:val="0"/>
                <w:color w:val="000000"/>
                <w:kern w:val="0"/>
                <w:sz w:val="24"/>
                <w:lang w:val="en-US" w:eastAsia="zh-CN" w:bidi="ar"/>
                <w14:ligatures w14:val="none"/>
              </w:rPr>
              <w:t>5-</w:t>
            </w:r>
            <w:r>
              <w:rPr>
                <w:rFonts w:hint="eastAsia" w:ascii="宋体" w:hAnsi="宋体" w:eastAsia="宋体" w:cs="宋体"/>
                <w:bCs/>
                <w:snapToGrid w:val="0"/>
                <w:color w:val="000000"/>
                <w:kern w:val="0"/>
                <w:sz w:val="24"/>
                <w:lang w:bidi="ar"/>
                <w14:ligatures w14:val="none"/>
              </w:rPr>
              <w:t>6分；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2、内容简单、措施可行性较为可行的，得</w:t>
            </w:r>
            <w:r>
              <w:rPr>
                <w:rFonts w:hint="eastAsia" w:ascii="宋体" w:hAnsi="宋体" w:eastAsia="宋体" w:cs="宋体"/>
                <w:bCs/>
                <w:snapToGrid w:val="0"/>
                <w:color w:val="000000"/>
                <w:kern w:val="0"/>
                <w:sz w:val="24"/>
                <w:lang w:val="en-US" w:eastAsia="zh-CN" w:bidi="ar"/>
                <w14:ligatures w14:val="none"/>
              </w:rPr>
              <w:t>3-</w:t>
            </w:r>
            <w:r>
              <w:rPr>
                <w:rFonts w:hint="eastAsia" w:ascii="宋体" w:hAnsi="宋体" w:eastAsia="宋体" w:cs="宋体"/>
                <w:bCs/>
                <w:snapToGrid w:val="0"/>
                <w:color w:val="000000"/>
                <w:kern w:val="0"/>
                <w:sz w:val="24"/>
                <w:lang w:bidi="ar"/>
                <w14:ligatures w14:val="none"/>
              </w:rPr>
              <w:t>4分；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3、内容较简单，基本符合，得</w:t>
            </w:r>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2分。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防止串围标方案</w:t>
            </w:r>
          </w:p>
        </w:tc>
        <w:tc>
          <w:tcPr>
            <w:tcW w:w="8621" w:type="dxa"/>
            <w:vAlign w:val="center"/>
          </w:tcPr>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对参选人提供防止串标围标的方案措施：</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1、内容详实、方案细致、措施有效、可行性强的，得</w:t>
            </w:r>
            <w:r>
              <w:rPr>
                <w:rFonts w:hint="eastAsia" w:ascii="宋体" w:hAnsi="宋体" w:eastAsia="宋体" w:cs="宋体"/>
                <w:bCs/>
                <w:snapToGrid w:val="0"/>
                <w:color w:val="000000"/>
                <w:kern w:val="0"/>
                <w:sz w:val="24"/>
                <w:lang w:val="en-US" w:eastAsia="zh-CN" w:bidi="ar"/>
                <w14:ligatures w14:val="none"/>
              </w:rPr>
              <w:t>5-</w:t>
            </w:r>
            <w:r>
              <w:rPr>
                <w:rFonts w:hint="eastAsia" w:ascii="宋体" w:hAnsi="宋体" w:eastAsia="宋体" w:cs="宋体"/>
                <w:bCs/>
                <w:snapToGrid w:val="0"/>
                <w:color w:val="000000"/>
                <w:kern w:val="0"/>
                <w:sz w:val="24"/>
                <w:lang w:bidi="ar"/>
                <w14:ligatures w14:val="none"/>
              </w:rPr>
              <w:t>6分；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2、内容简单、措施可行性较为可行的，得</w:t>
            </w:r>
            <w:r>
              <w:rPr>
                <w:rFonts w:hint="eastAsia" w:ascii="宋体" w:hAnsi="宋体" w:eastAsia="宋体" w:cs="宋体"/>
                <w:bCs/>
                <w:snapToGrid w:val="0"/>
                <w:color w:val="000000"/>
                <w:kern w:val="0"/>
                <w:sz w:val="24"/>
                <w:lang w:val="en-US" w:eastAsia="zh-CN" w:bidi="ar"/>
                <w14:ligatures w14:val="none"/>
              </w:rPr>
              <w:t>3-</w:t>
            </w:r>
            <w:r>
              <w:rPr>
                <w:rFonts w:hint="eastAsia" w:ascii="宋体" w:hAnsi="宋体" w:eastAsia="宋体" w:cs="宋体"/>
                <w:bCs/>
                <w:snapToGrid w:val="0"/>
                <w:color w:val="000000"/>
                <w:kern w:val="0"/>
                <w:sz w:val="24"/>
                <w:lang w:bidi="ar"/>
                <w14:ligatures w14:val="none"/>
              </w:rPr>
              <w:t>4分；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3、内容较简单，基本符合，得</w:t>
            </w:r>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2分。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286" w:hRule="atLeast"/>
        </w:trPr>
        <w:tc>
          <w:tcPr>
            <w:tcW w:w="540"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095"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648" w:type="dxa"/>
            <w:vMerge w:val="continue"/>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p>
        </w:tc>
        <w:tc>
          <w:tcPr>
            <w:tcW w:w="1418" w:type="dxa"/>
            <w:vAlign w:val="center"/>
          </w:tcPr>
          <w:p>
            <w:pPr>
              <w:widowControl/>
              <w:kinsoku w:val="0"/>
              <w:autoSpaceDE w:val="0"/>
              <w:autoSpaceDN w:val="0"/>
              <w:adjustRightInd w:val="0"/>
              <w:snapToGrid w:val="0"/>
              <w:spacing w:after="0"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保密及廉政防控</w:t>
            </w:r>
          </w:p>
        </w:tc>
        <w:tc>
          <w:tcPr>
            <w:tcW w:w="8621" w:type="dxa"/>
            <w:vAlign w:val="center"/>
          </w:tcPr>
          <w:p>
            <w:pPr>
              <w:widowControl/>
              <w:kinsoku w:val="0"/>
              <w:autoSpaceDE w:val="0"/>
              <w:autoSpaceDN w:val="0"/>
              <w:adjustRightInd w:val="0"/>
              <w:snapToGrid w:val="0"/>
              <w:spacing w:line="240" w:lineRule="auto"/>
              <w:textAlignment w:val="top"/>
              <w:rPr>
                <w:rFonts w:hint="eastAsia" w:ascii="宋体" w:hAnsi="宋体" w:eastAsia="宋体" w:cs="宋体"/>
                <w:bCs/>
                <w:snapToGrid w:val="0"/>
                <w:color w:val="000000"/>
                <w:kern w:val="0"/>
                <w:sz w:val="24"/>
                <w:lang w:bidi="ar"/>
                <w14:ligatures w14:val="none"/>
              </w:rPr>
            </w:pPr>
            <w:r>
              <w:rPr>
                <w:rFonts w:hint="eastAsia" w:ascii="宋体" w:hAnsi="宋体" w:eastAsia="宋体" w:cs="宋体"/>
                <w:bCs/>
                <w:snapToGrid w:val="0"/>
                <w:color w:val="000000"/>
                <w:kern w:val="0"/>
                <w:sz w:val="24"/>
                <w:lang w:bidi="ar"/>
                <w14:ligatures w14:val="none"/>
              </w:rPr>
              <w:t>针对本项目在内部人员廉洁自律、廉政防控、防止内外串通和对外保密等方面措施是否健全完善、科学合理、责任清晰、可操作性强进行打分：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1、内容详实、方案细致、措施有效、可行性强的，得</w:t>
            </w:r>
            <w:r>
              <w:rPr>
                <w:rFonts w:hint="eastAsia" w:ascii="宋体" w:hAnsi="宋体" w:eastAsia="宋体" w:cs="宋体"/>
                <w:bCs/>
                <w:snapToGrid w:val="0"/>
                <w:color w:val="000000"/>
                <w:kern w:val="0"/>
                <w:sz w:val="24"/>
                <w:lang w:val="en-US" w:eastAsia="zh-CN" w:bidi="ar"/>
                <w14:ligatures w14:val="none"/>
              </w:rPr>
              <w:t>5-</w:t>
            </w:r>
            <w:r>
              <w:rPr>
                <w:rFonts w:hint="eastAsia" w:ascii="宋体" w:hAnsi="宋体" w:eastAsia="宋体" w:cs="宋体"/>
                <w:bCs/>
                <w:snapToGrid w:val="0"/>
                <w:color w:val="000000"/>
                <w:kern w:val="0"/>
                <w:sz w:val="24"/>
                <w:lang w:bidi="ar"/>
                <w14:ligatures w14:val="none"/>
              </w:rPr>
              <w:t>6分；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2、内容简单、措施可行性较为可行的，得</w:t>
            </w:r>
            <w:r>
              <w:rPr>
                <w:rFonts w:hint="eastAsia" w:ascii="宋体" w:hAnsi="宋体" w:eastAsia="宋体" w:cs="宋体"/>
                <w:bCs/>
                <w:snapToGrid w:val="0"/>
                <w:color w:val="000000"/>
                <w:kern w:val="0"/>
                <w:sz w:val="24"/>
                <w:lang w:val="en-US" w:eastAsia="zh-CN" w:bidi="ar"/>
                <w14:ligatures w14:val="none"/>
              </w:rPr>
              <w:t>3-</w:t>
            </w:r>
            <w:r>
              <w:rPr>
                <w:rFonts w:hint="eastAsia" w:ascii="宋体" w:hAnsi="宋体" w:eastAsia="宋体" w:cs="宋体"/>
                <w:bCs/>
                <w:snapToGrid w:val="0"/>
                <w:color w:val="000000"/>
                <w:kern w:val="0"/>
                <w:sz w:val="24"/>
                <w:lang w:bidi="ar"/>
                <w14:ligatures w14:val="none"/>
              </w:rPr>
              <w:t>4分；</w:t>
            </w:r>
            <w:r>
              <w:rPr>
                <w:rFonts w:hint="eastAsia" w:ascii="宋体" w:hAnsi="宋体" w:eastAsia="宋体" w:cs="宋体"/>
                <w:bCs/>
                <w:snapToGrid w:val="0"/>
                <w:color w:val="000000"/>
                <w:kern w:val="0"/>
                <w:sz w:val="24"/>
                <w:lang w:bidi="ar"/>
                <w14:ligatures w14:val="none"/>
              </w:rPr>
              <w:br w:type="textWrapping"/>
            </w:r>
            <w:r>
              <w:rPr>
                <w:rFonts w:hint="eastAsia" w:ascii="宋体" w:hAnsi="宋体" w:eastAsia="宋体" w:cs="宋体"/>
                <w:bCs/>
                <w:snapToGrid w:val="0"/>
                <w:color w:val="000000"/>
                <w:kern w:val="0"/>
                <w:sz w:val="24"/>
                <w:lang w:bidi="ar"/>
                <w14:ligatures w14:val="none"/>
              </w:rPr>
              <w:t>3、内容较简单，基本符合，得</w:t>
            </w:r>
            <w:r>
              <w:rPr>
                <w:rFonts w:hint="eastAsia" w:ascii="宋体" w:hAnsi="宋体" w:eastAsia="宋体" w:cs="宋体"/>
                <w:bCs/>
                <w:snapToGrid w:val="0"/>
                <w:color w:val="000000"/>
                <w:kern w:val="0"/>
                <w:sz w:val="24"/>
                <w:lang w:val="en-US" w:eastAsia="zh-CN" w:bidi="ar"/>
                <w14:ligatures w14:val="none"/>
              </w:rPr>
              <w:t>0-</w:t>
            </w:r>
            <w:r>
              <w:rPr>
                <w:rFonts w:hint="eastAsia" w:ascii="宋体" w:hAnsi="宋体" w:eastAsia="宋体" w:cs="宋体"/>
                <w:bCs/>
                <w:snapToGrid w:val="0"/>
                <w:color w:val="000000"/>
                <w:kern w:val="0"/>
                <w:sz w:val="24"/>
                <w:lang w:bidi="ar"/>
                <w14:ligatures w14:val="none"/>
              </w:rPr>
              <w:t>2分。</w:t>
            </w:r>
          </w:p>
        </w:tc>
        <w:tc>
          <w:tcPr>
            <w:tcW w:w="1129" w:type="dxa"/>
            <w:vAlign w:val="center"/>
          </w:tcPr>
          <w:p>
            <w:pPr>
              <w:widowControl/>
              <w:spacing w:after="0" w:line="276" w:lineRule="auto"/>
              <w:jc w:val="center"/>
              <w:textAlignment w:val="center"/>
              <w:rPr>
                <w:rFonts w:hint="eastAsia" w:ascii="宋体" w:hAnsi="宋体" w:eastAsia="宋体" w:cs="Arial"/>
                <w:bCs/>
                <w:kern w:val="0"/>
                <w:sz w:val="24"/>
                <w:lang w:bidi="ar"/>
                <w14:ligatures w14:val="none"/>
              </w:rPr>
            </w:pPr>
            <w:r>
              <w:rPr>
                <w:rFonts w:hint="eastAsia" w:ascii="宋体" w:hAnsi="宋体" w:eastAsia="宋体" w:cs="Arial"/>
                <w:bCs/>
                <w:kern w:val="0"/>
                <w:sz w:val="24"/>
                <w:lang w:bidi="ar"/>
                <w14:ligatures w14:val="none"/>
              </w:rPr>
              <w:t>6</w:t>
            </w:r>
          </w:p>
        </w:tc>
        <w:tc>
          <w:tcPr>
            <w:tcW w:w="1079" w:type="dxa"/>
            <w:vAlign w:val="center"/>
          </w:tcPr>
          <w:p>
            <w:pPr>
              <w:widowControl/>
              <w:spacing w:after="0" w:line="276" w:lineRule="auto"/>
              <w:jc w:val="center"/>
              <w:textAlignment w:val="center"/>
              <w:rPr>
                <w:rFonts w:ascii="宋体" w:hAnsi="宋体" w:eastAsia="宋体" w:cs="Arial"/>
                <w:bCs/>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67" w:hRule="atLeast"/>
        </w:trPr>
        <w:tc>
          <w:tcPr>
            <w:tcW w:w="540" w:type="dxa"/>
            <w:vAlign w:val="center"/>
          </w:tcPr>
          <w:p>
            <w:pPr>
              <w:widowControl/>
              <w:spacing w:after="0" w:line="276" w:lineRule="auto"/>
              <w:jc w:val="center"/>
              <w:textAlignment w:val="center"/>
              <w:rPr>
                <w:rFonts w:hint="eastAsia" w:ascii="宋体" w:hAnsi="宋体" w:eastAsia="宋体" w:cs="Arial"/>
                <w:kern w:val="0"/>
                <w:sz w:val="24"/>
                <w:lang w:eastAsia="zh-CN" w:bidi="ar"/>
                <w14:ligatures w14:val="none"/>
              </w:rPr>
            </w:pPr>
            <w:r>
              <w:rPr>
                <w:rFonts w:hint="eastAsia" w:ascii="宋体" w:hAnsi="宋体" w:eastAsia="宋体" w:cs="Arial"/>
                <w:kern w:val="0"/>
                <w:sz w:val="24"/>
                <w:lang w:val="en-US" w:eastAsia="zh-CN" w:bidi="ar"/>
                <w14:ligatures w14:val="none"/>
              </w:rPr>
              <w:t>5</w:t>
            </w:r>
          </w:p>
        </w:tc>
        <w:tc>
          <w:tcPr>
            <w:tcW w:w="1095" w:type="dxa"/>
            <w:vAlign w:val="center"/>
          </w:tcPr>
          <w:p>
            <w:pPr>
              <w:widowControl/>
              <w:spacing w:after="0" w:line="276" w:lineRule="auto"/>
              <w:jc w:val="center"/>
              <w:textAlignment w:val="center"/>
              <w:rPr>
                <w:rFonts w:ascii="宋体" w:hAnsi="宋体" w:eastAsia="宋体" w:cs="Arial"/>
                <w:kern w:val="0"/>
                <w:sz w:val="24"/>
                <w:lang w:bidi="ar"/>
                <w14:ligatures w14:val="none"/>
              </w:rPr>
            </w:pPr>
            <w:r>
              <w:rPr>
                <w:rFonts w:ascii="宋体" w:hAnsi="宋体" w:eastAsia="宋体" w:cs="Arial"/>
                <w:kern w:val="0"/>
                <w:sz w:val="24"/>
                <w:lang w:bidi="ar"/>
                <w14:ligatures w14:val="none"/>
              </w:rPr>
              <w:t>价格评审</w:t>
            </w:r>
          </w:p>
        </w:tc>
        <w:tc>
          <w:tcPr>
            <w:tcW w:w="648" w:type="dxa"/>
            <w:vAlign w:val="center"/>
          </w:tcPr>
          <w:p>
            <w:pPr>
              <w:widowControl/>
              <w:spacing w:after="0" w:line="276" w:lineRule="auto"/>
              <w:jc w:val="center"/>
              <w:textAlignment w:val="center"/>
              <w:rPr>
                <w:rFonts w:ascii="宋体" w:hAnsi="宋体" w:eastAsia="宋体" w:cs="Arial"/>
                <w:kern w:val="0"/>
                <w:sz w:val="24"/>
                <w:lang w:bidi="ar"/>
                <w14:ligatures w14:val="none"/>
              </w:rPr>
            </w:pPr>
            <w:r>
              <w:rPr>
                <w:rFonts w:hint="eastAsia" w:ascii="宋体" w:hAnsi="宋体" w:eastAsia="宋体" w:cs="Arial"/>
                <w:kern w:val="0"/>
                <w:sz w:val="24"/>
                <w:lang w:bidi="ar"/>
                <w14:ligatures w14:val="none"/>
              </w:rPr>
              <w:t>1</w:t>
            </w:r>
            <w:r>
              <w:rPr>
                <w:rFonts w:ascii="宋体" w:hAnsi="宋体" w:eastAsia="宋体" w:cs="Arial"/>
                <w:kern w:val="0"/>
                <w:sz w:val="24"/>
                <w:lang w:bidi="ar"/>
                <w14:ligatures w14:val="none"/>
              </w:rPr>
              <w:t>0分</w:t>
            </w:r>
          </w:p>
        </w:tc>
        <w:tc>
          <w:tcPr>
            <w:tcW w:w="1418" w:type="dxa"/>
            <w:vAlign w:val="center"/>
          </w:tcPr>
          <w:p>
            <w:pPr>
              <w:widowControl/>
              <w:spacing w:after="0" w:line="276" w:lineRule="auto"/>
              <w:jc w:val="center"/>
              <w:textAlignment w:val="center"/>
              <w:rPr>
                <w:rFonts w:ascii="宋体" w:hAnsi="宋体" w:eastAsia="宋体" w:cs="Arial"/>
                <w:kern w:val="0"/>
                <w:sz w:val="24"/>
                <w:lang w:bidi="ar"/>
                <w14:ligatures w14:val="none"/>
              </w:rPr>
            </w:pPr>
            <w:r>
              <w:rPr>
                <w:rFonts w:ascii="宋体" w:hAnsi="宋体" w:eastAsia="宋体" w:cs="Arial"/>
                <w:kern w:val="0"/>
                <w:sz w:val="24"/>
                <w:lang w:bidi="ar"/>
                <w14:ligatures w14:val="none"/>
              </w:rPr>
              <w:t>投标报价</w:t>
            </w:r>
          </w:p>
        </w:tc>
        <w:tc>
          <w:tcPr>
            <w:tcW w:w="8621" w:type="dxa"/>
            <w:vAlign w:val="center"/>
          </w:tcPr>
          <w:p>
            <w:pPr>
              <w:spacing w:before="78" w:beforeLines="25" w:after="78" w:afterLines="25" w:line="300" w:lineRule="exact"/>
              <w:rPr>
                <w:rFonts w:hint="eastAsia" w:ascii="宋体" w:hAnsi="宋体" w:eastAsia="宋体"/>
                <w:sz w:val="24"/>
                <w:lang w:val="en-US" w:eastAsia="zh-CN"/>
              </w:rPr>
            </w:pPr>
            <w:r>
              <w:rPr>
                <w:rFonts w:hint="eastAsia" w:ascii="宋体" w:hAnsi="宋体" w:eastAsia="宋体"/>
                <w:sz w:val="24"/>
              </w:rPr>
              <w:t>按照</w:t>
            </w:r>
            <w:r>
              <w:rPr>
                <w:rFonts w:ascii="宋体" w:hAnsi="宋体" w:eastAsia="宋体"/>
                <w:sz w:val="24"/>
              </w:rPr>
              <w:t>《招标代理服务收费管理暂行办法》[计价格〔2002〕1980 号]、《国家发展和改革委办公厅关于招标代理服务收费有关问题的通知》（发改办价格［2003］857 号）、《国家发展改革委关于降低部分建设项目收费标准规范收费行为等有关问题的通知》（发改价格［2011］534 号）</w:t>
            </w:r>
            <w:r>
              <w:rPr>
                <w:rFonts w:hint="eastAsia" w:ascii="宋体" w:hAnsi="宋体" w:eastAsia="宋体"/>
                <w:sz w:val="24"/>
              </w:rPr>
              <w:t>及《国家发改委关于进一步放开建设项目专业服务价格的通知》（发改价格[2015]299号）规定报价，报价为给予折扣后招标代理服务费比率。</w:t>
            </w:r>
            <w:r>
              <w:rPr>
                <w:rFonts w:hint="eastAsia" w:ascii="宋体" w:hAnsi="宋体" w:eastAsia="宋体"/>
                <w:sz w:val="24"/>
                <w:lang w:eastAsia="zh-CN"/>
              </w:rPr>
              <w:t>（例如按照</w:t>
            </w:r>
            <w:r>
              <w:rPr>
                <w:rFonts w:hint="eastAsia" w:ascii="宋体" w:hAnsi="宋体" w:eastAsia="宋体"/>
                <w:sz w:val="24"/>
                <w:lang w:val="en-US" w:eastAsia="zh-CN"/>
              </w:rPr>
              <w:t>198号文计算代理费为100元，报价为7折，即最终代理费为70元</w:t>
            </w:r>
            <w:r>
              <w:rPr>
                <w:rFonts w:hint="eastAsia" w:ascii="宋体" w:hAnsi="宋体" w:eastAsia="宋体"/>
                <w:sz w:val="24"/>
                <w:lang w:eastAsia="zh-CN"/>
              </w:rPr>
              <w:t>）。</w:t>
            </w:r>
          </w:p>
          <w:p>
            <w:pPr>
              <w:autoSpaceDE w:val="0"/>
              <w:autoSpaceDN w:val="0"/>
              <w:adjustRightInd w:val="0"/>
              <w:spacing w:after="0" w:line="240" w:lineRule="auto"/>
              <w:rPr>
                <w:rFonts w:ascii="宋体" w:hAnsi="宋体" w:eastAsia="宋体" w:cs="Arial"/>
                <w:kern w:val="0"/>
                <w:sz w:val="24"/>
                <w:lang w:bidi="ar"/>
                <w14:ligatures w14:val="none"/>
              </w:rPr>
            </w:pPr>
            <w:r>
              <w:rPr>
                <w:rFonts w:hint="eastAsia" w:ascii="宋体" w:hAnsi="宋体" w:eastAsia="宋体"/>
                <w:sz w:val="24"/>
              </w:rPr>
              <w:t>报价采取低价优先法计算，满足文件要求，最低的报价为评审基准价，其价格为满分。其它应答商的价格分按下列公式计算：应答商报价得分＝（评审基准价/响应报价）*10。</w:t>
            </w:r>
          </w:p>
        </w:tc>
        <w:tc>
          <w:tcPr>
            <w:tcW w:w="1129" w:type="dxa"/>
            <w:vAlign w:val="center"/>
          </w:tcPr>
          <w:p>
            <w:pPr>
              <w:widowControl/>
              <w:spacing w:after="0" w:line="276" w:lineRule="auto"/>
              <w:jc w:val="center"/>
              <w:textAlignment w:val="center"/>
              <w:rPr>
                <w:rFonts w:ascii="宋体" w:hAnsi="宋体" w:eastAsia="宋体" w:cs="Arial"/>
                <w:kern w:val="0"/>
                <w:sz w:val="24"/>
                <w:lang w:bidi="ar"/>
                <w14:ligatures w14:val="none"/>
              </w:rPr>
            </w:pPr>
            <w:r>
              <w:rPr>
                <w:rFonts w:hint="eastAsia" w:ascii="宋体" w:hAnsi="宋体" w:eastAsia="宋体" w:cs="Arial"/>
                <w:kern w:val="0"/>
                <w:sz w:val="24"/>
                <w:lang w:bidi="ar"/>
                <w14:ligatures w14:val="none"/>
              </w:rPr>
              <w:t>1</w:t>
            </w:r>
            <w:r>
              <w:rPr>
                <w:rFonts w:ascii="宋体" w:hAnsi="宋体" w:eastAsia="宋体" w:cs="Arial"/>
                <w:kern w:val="0"/>
                <w:sz w:val="24"/>
                <w:lang w:bidi="ar"/>
                <w14:ligatures w14:val="none"/>
              </w:rPr>
              <w:t>0</w:t>
            </w:r>
          </w:p>
        </w:tc>
        <w:tc>
          <w:tcPr>
            <w:tcW w:w="1079" w:type="dxa"/>
            <w:vAlign w:val="center"/>
          </w:tcPr>
          <w:p>
            <w:pPr>
              <w:widowControl/>
              <w:spacing w:after="0" w:line="276" w:lineRule="auto"/>
              <w:textAlignment w:val="center"/>
              <w:rPr>
                <w:rFonts w:ascii="宋体" w:hAnsi="宋体" w:eastAsia="宋体" w:cs="Arial"/>
                <w:kern w:val="0"/>
                <w:sz w:val="24"/>
                <w:lang w:bidi="ar"/>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33" w:hRule="atLeast"/>
        </w:trPr>
        <w:tc>
          <w:tcPr>
            <w:tcW w:w="540" w:type="dxa"/>
            <w:vAlign w:val="center"/>
          </w:tcPr>
          <w:p>
            <w:pPr>
              <w:widowControl/>
              <w:spacing w:after="0" w:line="276" w:lineRule="auto"/>
              <w:jc w:val="center"/>
              <w:textAlignment w:val="center"/>
              <w:rPr>
                <w:rFonts w:hint="eastAsia" w:ascii="宋体" w:hAnsi="宋体" w:eastAsia="宋体" w:cs="Arial"/>
                <w:sz w:val="24"/>
                <w:lang w:eastAsia="zh-CN"/>
                <w14:ligatures w14:val="none"/>
              </w:rPr>
            </w:pPr>
            <w:r>
              <w:rPr>
                <w:rFonts w:hint="eastAsia" w:ascii="宋体" w:hAnsi="宋体" w:eastAsia="宋体" w:cs="Arial"/>
                <w:kern w:val="0"/>
                <w:sz w:val="24"/>
                <w:lang w:val="en-US" w:eastAsia="zh-CN" w:bidi="ar"/>
                <w14:ligatures w14:val="none"/>
              </w:rPr>
              <w:t>6</w:t>
            </w:r>
          </w:p>
        </w:tc>
        <w:tc>
          <w:tcPr>
            <w:tcW w:w="1095" w:type="dxa"/>
            <w:vAlign w:val="center"/>
          </w:tcPr>
          <w:p>
            <w:pPr>
              <w:widowControl/>
              <w:spacing w:after="0" w:line="276" w:lineRule="auto"/>
              <w:jc w:val="center"/>
              <w:textAlignment w:val="center"/>
              <w:rPr>
                <w:rFonts w:ascii="宋体" w:hAnsi="宋体" w:eastAsia="宋体" w:cs="Arial"/>
                <w:sz w:val="24"/>
                <w14:ligatures w14:val="none"/>
              </w:rPr>
            </w:pPr>
            <w:r>
              <w:rPr>
                <w:rFonts w:ascii="宋体" w:hAnsi="宋体" w:eastAsia="宋体" w:cs="Arial"/>
                <w:kern w:val="0"/>
                <w:sz w:val="24"/>
                <w:lang w:bidi="ar"/>
                <w14:ligatures w14:val="none"/>
              </w:rPr>
              <w:t>总分</w:t>
            </w:r>
          </w:p>
        </w:tc>
        <w:tc>
          <w:tcPr>
            <w:tcW w:w="648" w:type="dxa"/>
            <w:vAlign w:val="center"/>
          </w:tcPr>
          <w:p>
            <w:pPr>
              <w:widowControl/>
              <w:spacing w:after="0" w:line="276" w:lineRule="auto"/>
              <w:jc w:val="center"/>
              <w:textAlignment w:val="center"/>
              <w:rPr>
                <w:rFonts w:ascii="宋体" w:hAnsi="宋体" w:eastAsia="宋体" w:cs="Arial"/>
                <w:sz w:val="24"/>
                <w14:ligatures w14:val="none"/>
              </w:rPr>
            </w:pPr>
            <w:r>
              <w:rPr>
                <w:rFonts w:ascii="宋体" w:hAnsi="宋体" w:eastAsia="宋体" w:cs="Arial"/>
                <w:kern w:val="0"/>
                <w:sz w:val="24"/>
                <w:lang w:bidi="ar"/>
                <w14:ligatures w14:val="none"/>
              </w:rPr>
              <w:t>100分</w:t>
            </w:r>
          </w:p>
        </w:tc>
        <w:tc>
          <w:tcPr>
            <w:tcW w:w="1418" w:type="dxa"/>
            <w:vAlign w:val="center"/>
          </w:tcPr>
          <w:p>
            <w:pPr>
              <w:spacing w:after="0" w:line="276" w:lineRule="auto"/>
              <w:jc w:val="center"/>
              <w:rPr>
                <w:rFonts w:ascii="宋体" w:hAnsi="宋体" w:eastAsia="宋体" w:cs="Arial"/>
                <w:sz w:val="24"/>
                <w14:ligatures w14:val="none"/>
              </w:rPr>
            </w:pPr>
          </w:p>
        </w:tc>
        <w:tc>
          <w:tcPr>
            <w:tcW w:w="8621" w:type="dxa"/>
          </w:tcPr>
          <w:p>
            <w:pPr>
              <w:spacing w:after="0" w:line="276" w:lineRule="auto"/>
              <w:jc w:val="both"/>
              <w:rPr>
                <w:rFonts w:ascii="宋体" w:hAnsi="宋体" w:eastAsia="宋体" w:cs="Arial"/>
                <w:sz w:val="24"/>
                <w14:ligatures w14:val="none"/>
              </w:rPr>
            </w:pPr>
          </w:p>
        </w:tc>
        <w:tc>
          <w:tcPr>
            <w:tcW w:w="1129" w:type="dxa"/>
            <w:vAlign w:val="center"/>
          </w:tcPr>
          <w:p>
            <w:pPr>
              <w:spacing w:after="0" w:line="276" w:lineRule="auto"/>
              <w:jc w:val="center"/>
              <w:rPr>
                <w:rFonts w:ascii="宋体" w:hAnsi="宋体" w:eastAsia="宋体" w:cs="Arial"/>
                <w:sz w:val="24"/>
                <w14:ligatures w14:val="none"/>
              </w:rPr>
            </w:pPr>
          </w:p>
        </w:tc>
        <w:tc>
          <w:tcPr>
            <w:tcW w:w="1079" w:type="dxa"/>
            <w:vAlign w:val="center"/>
          </w:tcPr>
          <w:p>
            <w:pPr>
              <w:spacing w:after="0" w:line="276" w:lineRule="auto"/>
              <w:jc w:val="both"/>
              <w:rPr>
                <w:rFonts w:ascii="宋体" w:hAnsi="宋体" w:eastAsia="宋体" w:cs="Arial"/>
                <w:sz w:val="24"/>
                <w14:ligatures w14:val="none"/>
              </w:rPr>
            </w:pPr>
          </w:p>
        </w:tc>
      </w:tr>
    </w:tbl>
    <w:p>
      <w:pPr>
        <w:rPr>
          <w:rFonts w:ascii="宋体" w:hAnsi="宋体" w:eastAsia="宋体"/>
          <w:sz w:val="24"/>
        </w:rPr>
      </w:pPr>
    </w:p>
    <w:sectPr>
      <w:pgSz w:w="16838" w:h="11906" w:orient="landscape"/>
      <w:pgMar w:top="1418"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2C4EF"/>
    <w:multiLevelType w:val="singleLevel"/>
    <w:tmpl w:val="41E2C4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E8"/>
    <w:rsid w:val="004418E8"/>
    <w:rsid w:val="004B26B4"/>
    <w:rsid w:val="005024DB"/>
    <w:rsid w:val="005249A7"/>
    <w:rsid w:val="00531EB3"/>
    <w:rsid w:val="00555825"/>
    <w:rsid w:val="009C24BA"/>
    <w:rsid w:val="00DF7528"/>
    <w:rsid w:val="00FC5AC4"/>
    <w:rsid w:val="01C74BDB"/>
    <w:rsid w:val="03F66D0E"/>
    <w:rsid w:val="0A986448"/>
    <w:rsid w:val="29583BA8"/>
    <w:rsid w:val="55E0480F"/>
    <w:rsid w:val="579447BF"/>
    <w:rsid w:val="64530FA5"/>
    <w:rsid w:val="6C59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1885</Words>
  <Characters>1982</Characters>
  <Lines>70</Lines>
  <Paragraphs>63</Paragraphs>
  <TotalTime>46</TotalTime>
  <ScaleCrop>false</ScaleCrop>
  <LinksUpToDate>false</LinksUpToDate>
  <CharactersWithSpaces>1986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2025-11-04T02:13:00Z</dcterms:created>
  <dc:creator>user</dc:creator>
  <cp:lastModifiedBy>张伟8811</cp:lastModifiedBy>
  <dcterms:modified xsi:type="dcterms:W3CDTF">2025-11-06T02:08:53Z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eyJoZGlkIjoiODEyZjc3OTYxOGM0NGRmMzk3ZTdhNDZmNzUzYTM4NGYiLCJ1c2VySWQiOiI0MzUyMjEzNTAifQ==</vt:lpwstr>
  </property>
  <property fmtid="{D5CDD505-2E9C-101B-9397-08002B2CF9AE}" pid="3" name="KSOProductBuildVer">
    <vt:lpwstr>2052-11.8.2.12195</vt:lpwstr>
  </property>
  <property fmtid="{D5CDD505-2E9C-101B-9397-08002B2CF9AE}" pid="4" name="ICV">
    <vt:lpwstr>302F02BFFA424AE5AA0B7119B3FFA87D_12</vt:lpwstr>
  </property>
</Properties>
</file>